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76A28" w14:textId="77777777" w:rsidR="00D018E9" w:rsidRPr="00510B4F" w:rsidRDefault="004E3669" w:rsidP="00D61B27">
      <w:pPr>
        <w:spacing w:line="240" w:lineRule="auto"/>
        <w:rPr>
          <w:rFonts w:asciiTheme="majorHAnsi" w:hAnsiTheme="majorHAnsi"/>
          <w:b/>
        </w:rPr>
      </w:pPr>
      <w:r>
        <w:rPr>
          <w:rFonts w:asciiTheme="majorHAnsi" w:hAnsiTheme="majorHAnsi"/>
          <w:b/>
        </w:rPr>
        <w:t xml:space="preserve">Note no: </w:t>
      </w:r>
      <w:r w:rsidR="00D018E9" w:rsidRPr="00510B4F">
        <w:rPr>
          <w:rFonts w:asciiTheme="majorHAnsi" w:hAnsiTheme="majorHAnsi"/>
          <w:b/>
        </w:rPr>
        <w:t>4</w:t>
      </w:r>
    </w:p>
    <w:p w14:paraId="55104A56" w14:textId="77777777" w:rsidR="00D018E9" w:rsidRPr="00510B4F" w:rsidRDefault="00D018E9" w:rsidP="00D61B27">
      <w:pPr>
        <w:spacing w:line="240" w:lineRule="auto"/>
        <w:rPr>
          <w:rFonts w:asciiTheme="majorHAnsi" w:hAnsiTheme="majorHAnsi"/>
          <w:b/>
        </w:rPr>
      </w:pPr>
      <w:r w:rsidRPr="00510B4F">
        <w:rPr>
          <w:rFonts w:asciiTheme="majorHAnsi" w:hAnsiTheme="majorHAnsi"/>
          <w:b/>
        </w:rPr>
        <w:t xml:space="preserve">Imposition of (ECC) </w:t>
      </w:r>
      <w:r w:rsidR="004E3669">
        <w:rPr>
          <w:rFonts w:asciiTheme="majorHAnsi" w:hAnsiTheme="majorHAnsi"/>
          <w:b/>
        </w:rPr>
        <w:t>Environment Compensation Charge: status of enforcement and impact of orders on air quality</w:t>
      </w:r>
    </w:p>
    <w:p w14:paraId="6D009BDB" w14:textId="77777777" w:rsidR="00D018E9" w:rsidRPr="00510B4F" w:rsidRDefault="00D018E9" w:rsidP="00D61B27">
      <w:pPr>
        <w:spacing w:line="240" w:lineRule="auto"/>
        <w:rPr>
          <w:rFonts w:asciiTheme="majorHAnsi" w:hAnsiTheme="majorHAnsi"/>
          <w:b/>
        </w:rPr>
      </w:pPr>
      <w:r w:rsidRPr="00510B4F">
        <w:rPr>
          <w:rFonts w:asciiTheme="majorHAnsi" w:hAnsiTheme="majorHAnsi"/>
          <w:b/>
        </w:rPr>
        <w:t>EPCA, Environment Pollution (Prevention &amp; Control) Authority for Delhi and NCR</w:t>
      </w:r>
    </w:p>
    <w:p w14:paraId="4B681FDD" w14:textId="77777777" w:rsidR="00D018E9" w:rsidRPr="00510B4F" w:rsidRDefault="004E3669" w:rsidP="00D61B27">
      <w:pPr>
        <w:pBdr>
          <w:bottom w:val="single" w:sz="4" w:space="1" w:color="auto"/>
        </w:pBdr>
        <w:spacing w:line="240" w:lineRule="auto"/>
        <w:rPr>
          <w:rFonts w:asciiTheme="majorHAnsi" w:hAnsiTheme="majorHAnsi"/>
          <w:b/>
        </w:rPr>
      </w:pPr>
      <w:r>
        <w:rPr>
          <w:rFonts w:asciiTheme="majorHAnsi" w:hAnsiTheme="majorHAnsi"/>
          <w:b/>
        </w:rPr>
        <w:t>February 18</w:t>
      </w:r>
      <w:r w:rsidR="00D018E9" w:rsidRPr="00510B4F">
        <w:rPr>
          <w:rFonts w:asciiTheme="majorHAnsi" w:hAnsiTheme="majorHAnsi"/>
          <w:b/>
        </w:rPr>
        <w:t>, 2016</w:t>
      </w:r>
    </w:p>
    <w:p w14:paraId="749B2C23" w14:textId="77777777" w:rsidR="00D018E9" w:rsidRPr="00510B4F" w:rsidRDefault="00D018E9" w:rsidP="00D61B27">
      <w:pPr>
        <w:spacing w:line="240" w:lineRule="auto"/>
        <w:rPr>
          <w:rFonts w:asciiTheme="majorHAnsi" w:hAnsiTheme="majorHAnsi"/>
          <w:b/>
          <w:u w:val="single"/>
        </w:rPr>
      </w:pPr>
      <w:r w:rsidRPr="00510B4F">
        <w:rPr>
          <w:rFonts w:asciiTheme="majorHAnsi" w:hAnsiTheme="majorHAnsi"/>
          <w:b/>
          <w:u w:val="single"/>
        </w:rPr>
        <w:t xml:space="preserve">Direction from the </w:t>
      </w:r>
      <w:proofErr w:type="spellStart"/>
      <w:r w:rsidRPr="00510B4F">
        <w:rPr>
          <w:rFonts w:asciiTheme="majorHAnsi" w:hAnsiTheme="majorHAnsi"/>
          <w:b/>
          <w:u w:val="single"/>
        </w:rPr>
        <w:t>Hon’ble</w:t>
      </w:r>
      <w:proofErr w:type="spellEnd"/>
      <w:r w:rsidRPr="00510B4F">
        <w:rPr>
          <w:rFonts w:asciiTheme="majorHAnsi" w:hAnsiTheme="majorHAnsi"/>
          <w:b/>
          <w:u w:val="single"/>
        </w:rPr>
        <w:t xml:space="preserve"> Supreme Court</w:t>
      </w:r>
    </w:p>
    <w:p w14:paraId="7FF92629" w14:textId="77777777" w:rsidR="001176CE" w:rsidRPr="00510B4F" w:rsidRDefault="001176CE" w:rsidP="00D61B27">
      <w:pPr>
        <w:spacing w:line="240" w:lineRule="auto"/>
        <w:rPr>
          <w:rFonts w:asciiTheme="majorHAnsi" w:hAnsiTheme="majorHAnsi"/>
          <w:b/>
        </w:rPr>
      </w:pPr>
      <w:r w:rsidRPr="00510B4F">
        <w:rPr>
          <w:rFonts w:asciiTheme="majorHAnsi" w:hAnsiTheme="majorHAnsi"/>
          <w:b/>
        </w:rPr>
        <w:t>Order dated 09.10.2015</w:t>
      </w:r>
    </w:p>
    <w:p w14:paraId="1439DF05" w14:textId="77777777" w:rsidR="001176CE" w:rsidRPr="00510B4F" w:rsidRDefault="001176CE" w:rsidP="00D61B27">
      <w:pPr>
        <w:spacing w:line="240" w:lineRule="auto"/>
        <w:rPr>
          <w:rFonts w:asciiTheme="majorHAnsi" w:hAnsiTheme="majorHAnsi"/>
          <w:b/>
          <w:i/>
        </w:rPr>
      </w:pPr>
      <w:r w:rsidRPr="00510B4F">
        <w:rPr>
          <w:rFonts w:asciiTheme="majorHAnsi" w:hAnsiTheme="majorHAnsi"/>
          <w:i/>
        </w:rPr>
        <w:t xml:space="preserve">“It has been pointed out that even though alternative routes are available for such traffic, only reason for such traffic entering into Delhi is to save higher rate of toll tax in taking such alternative routes. In the process, pollution caused by such traffic inflicts heavy cost on the health of the residents of Delhi. To tackle this situation an </w:t>
      </w:r>
      <w:r w:rsidRPr="00510B4F">
        <w:rPr>
          <w:rFonts w:asciiTheme="majorHAnsi" w:hAnsiTheme="majorHAnsi"/>
          <w:b/>
          <w:i/>
        </w:rPr>
        <w:t>‘Environment Compensation Charge’ (ECC)</w:t>
      </w:r>
      <w:r w:rsidRPr="00510B4F">
        <w:rPr>
          <w:rFonts w:asciiTheme="majorHAnsi" w:hAnsiTheme="majorHAnsi"/>
          <w:i/>
        </w:rPr>
        <w:t xml:space="preserve"> may be required to be imposed on all light and heavy duty commercial vehicles and </w:t>
      </w:r>
      <w:r w:rsidRPr="00510B4F">
        <w:rPr>
          <w:rFonts w:asciiTheme="majorHAnsi" w:hAnsiTheme="majorHAnsi"/>
          <w:b/>
          <w:i/>
        </w:rPr>
        <w:t>the amount so collected ought to be exclusively used for augmenting public transport and improving roads particularly for most vulnerable users, that is, cyclist and pedestrians in Delhi.”</w:t>
      </w:r>
    </w:p>
    <w:p w14:paraId="0B2D7A7E" w14:textId="77777777" w:rsidR="001176CE" w:rsidRPr="00510B4F" w:rsidRDefault="001176CE" w:rsidP="00D61B27">
      <w:pPr>
        <w:spacing w:line="240" w:lineRule="auto"/>
        <w:rPr>
          <w:rFonts w:asciiTheme="majorHAnsi" w:hAnsiTheme="majorHAnsi"/>
          <w:i/>
        </w:rPr>
      </w:pPr>
      <w:r w:rsidRPr="00510B4F">
        <w:rPr>
          <w:rFonts w:asciiTheme="majorHAnsi" w:hAnsiTheme="majorHAnsi"/>
          <w:i/>
        </w:rPr>
        <w:t>ECC ought to be imposed by the Delhi Government at the following rates:</w:t>
      </w:r>
    </w:p>
    <w:p w14:paraId="6AC0E5AC" w14:textId="77777777" w:rsidR="001176CE" w:rsidRPr="00510B4F" w:rsidRDefault="001176CE" w:rsidP="00D61B27">
      <w:pPr>
        <w:pStyle w:val="ListParagraph"/>
        <w:numPr>
          <w:ilvl w:val="0"/>
          <w:numId w:val="1"/>
        </w:numPr>
        <w:spacing w:line="240" w:lineRule="auto"/>
        <w:rPr>
          <w:rFonts w:asciiTheme="majorHAnsi" w:hAnsiTheme="majorHAnsi"/>
          <w:i/>
        </w:rPr>
      </w:pPr>
      <w:r w:rsidRPr="00510B4F">
        <w:rPr>
          <w:rFonts w:asciiTheme="majorHAnsi" w:hAnsiTheme="majorHAnsi"/>
          <w:i/>
        </w:rPr>
        <w:t>Category 2 (light duty vehicles etc.) and Category 3 (2-axle trucks) - Rs. 700/-</w:t>
      </w:r>
    </w:p>
    <w:p w14:paraId="0537F6A4" w14:textId="77777777" w:rsidR="001176CE" w:rsidRPr="00510B4F" w:rsidRDefault="001176CE" w:rsidP="00D61B27">
      <w:pPr>
        <w:pStyle w:val="ListParagraph"/>
        <w:numPr>
          <w:ilvl w:val="0"/>
          <w:numId w:val="1"/>
        </w:numPr>
        <w:spacing w:line="240" w:lineRule="auto"/>
        <w:rPr>
          <w:rFonts w:asciiTheme="majorHAnsi" w:hAnsiTheme="majorHAnsi"/>
          <w:i/>
        </w:rPr>
      </w:pPr>
      <w:r w:rsidRPr="00510B4F">
        <w:rPr>
          <w:rFonts w:asciiTheme="majorHAnsi" w:hAnsiTheme="majorHAnsi"/>
          <w:i/>
        </w:rPr>
        <w:t>Category 4 (3-axle trucks) and Category 5 (4-axle trucks and above) - Rs. 700/-</w:t>
      </w:r>
    </w:p>
    <w:p w14:paraId="4EFDAE6B" w14:textId="77777777" w:rsidR="00B668E7" w:rsidRPr="00510B4F" w:rsidRDefault="00B668E7" w:rsidP="00D61B27">
      <w:pPr>
        <w:spacing w:line="240" w:lineRule="auto"/>
        <w:rPr>
          <w:rFonts w:asciiTheme="majorHAnsi" w:hAnsiTheme="majorHAnsi"/>
          <w:i/>
        </w:rPr>
      </w:pPr>
      <w:r w:rsidRPr="00510B4F">
        <w:rPr>
          <w:rFonts w:asciiTheme="majorHAnsi" w:hAnsiTheme="majorHAnsi"/>
          <w:i/>
        </w:rPr>
        <w:t>The above charge shall not be imposed on</w:t>
      </w:r>
    </w:p>
    <w:p w14:paraId="75192B97" w14:textId="77777777" w:rsidR="00B668E7" w:rsidRPr="00510B4F" w:rsidRDefault="00B668E7" w:rsidP="00D61B27">
      <w:pPr>
        <w:pStyle w:val="ListParagraph"/>
        <w:numPr>
          <w:ilvl w:val="0"/>
          <w:numId w:val="2"/>
        </w:numPr>
        <w:spacing w:line="240" w:lineRule="auto"/>
        <w:rPr>
          <w:rFonts w:asciiTheme="majorHAnsi" w:hAnsiTheme="majorHAnsi"/>
          <w:i/>
        </w:rPr>
      </w:pPr>
      <w:r w:rsidRPr="00510B4F">
        <w:rPr>
          <w:rFonts w:asciiTheme="majorHAnsi" w:hAnsiTheme="majorHAnsi"/>
          <w:i/>
        </w:rPr>
        <w:t>Passenger vehicles and ambulances</w:t>
      </w:r>
    </w:p>
    <w:p w14:paraId="61AA2F32" w14:textId="77777777" w:rsidR="001176CE" w:rsidRPr="00510B4F" w:rsidRDefault="00B668E7" w:rsidP="00D61B27">
      <w:pPr>
        <w:pStyle w:val="ListParagraph"/>
        <w:numPr>
          <w:ilvl w:val="0"/>
          <w:numId w:val="2"/>
        </w:numPr>
        <w:spacing w:line="240" w:lineRule="auto"/>
        <w:rPr>
          <w:rFonts w:asciiTheme="majorHAnsi" w:hAnsiTheme="majorHAnsi"/>
          <w:i/>
        </w:rPr>
      </w:pPr>
      <w:r w:rsidRPr="00510B4F">
        <w:rPr>
          <w:rFonts w:asciiTheme="majorHAnsi" w:hAnsiTheme="majorHAnsi"/>
          <w:i/>
        </w:rPr>
        <w:t>On vehicles carrying essential commodities, that is, food stuffs and oil tankers”</w:t>
      </w:r>
    </w:p>
    <w:p w14:paraId="58E18E5E" w14:textId="77777777" w:rsidR="001176CE" w:rsidRPr="00510B4F" w:rsidRDefault="00B668E7" w:rsidP="00D61B27">
      <w:pPr>
        <w:spacing w:line="240" w:lineRule="auto"/>
        <w:rPr>
          <w:rFonts w:asciiTheme="majorHAnsi" w:hAnsiTheme="majorHAnsi"/>
          <w:b/>
        </w:rPr>
      </w:pPr>
      <w:r w:rsidRPr="00510B4F">
        <w:rPr>
          <w:rFonts w:asciiTheme="majorHAnsi" w:hAnsiTheme="majorHAnsi"/>
          <w:b/>
        </w:rPr>
        <w:t>Order dated 16.12.2016</w:t>
      </w:r>
    </w:p>
    <w:p w14:paraId="601F99FE" w14:textId="77777777" w:rsidR="00D61B27" w:rsidRDefault="00B668E7" w:rsidP="00D61B27">
      <w:pPr>
        <w:spacing w:line="240" w:lineRule="auto"/>
        <w:rPr>
          <w:rFonts w:asciiTheme="majorHAnsi" w:hAnsiTheme="majorHAnsi"/>
          <w:i/>
        </w:rPr>
      </w:pPr>
      <w:r w:rsidRPr="00510B4F">
        <w:rPr>
          <w:rFonts w:asciiTheme="majorHAnsi" w:hAnsiTheme="majorHAnsi"/>
          <w:i/>
        </w:rPr>
        <w:t>“We are further of the view that empty/</w:t>
      </w:r>
      <w:proofErr w:type="spellStart"/>
      <w:r w:rsidRPr="00510B4F">
        <w:rPr>
          <w:rFonts w:asciiTheme="majorHAnsi" w:hAnsiTheme="majorHAnsi"/>
          <w:i/>
        </w:rPr>
        <w:t>unladen</w:t>
      </w:r>
      <w:proofErr w:type="spellEnd"/>
      <w:r w:rsidRPr="00510B4F">
        <w:rPr>
          <w:rFonts w:asciiTheme="majorHAnsi" w:hAnsiTheme="majorHAnsi"/>
          <w:i/>
        </w:rPr>
        <w:t xml:space="preserve"> vehicles bound for Delhi, can enter Delhi on </w:t>
      </w:r>
      <w:proofErr w:type="gramStart"/>
      <w:r w:rsidRPr="00510B4F">
        <w:rPr>
          <w:rFonts w:asciiTheme="majorHAnsi" w:hAnsiTheme="majorHAnsi"/>
          <w:i/>
        </w:rPr>
        <w:t>payment  of</w:t>
      </w:r>
      <w:proofErr w:type="gramEnd"/>
      <w:r w:rsidRPr="00510B4F">
        <w:rPr>
          <w:rFonts w:asciiTheme="majorHAnsi" w:hAnsiTheme="majorHAnsi"/>
          <w:i/>
        </w:rPr>
        <w:t xml:space="preserve"> the ECC earlier stipulated by us at Rs.700/- and Rs.1300/- per vehicle depending upon the category to which the vehicle belongs.  We, however, direct that for Delhi bound vehicles loaded with goods, the ECC will be twice the charges stipulated by us by order dated 09.10.2015. This measure shall, in our opinion, discourage any vehicles trying to enter Delhi on a false pretext of the goods loaded on it being Delhi bound.”</w:t>
      </w:r>
    </w:p>
    <w:p w14:paraId="37638A0E" w14:textId="77777777" w:rsidR="004E3669" w:rsidRPr="004E3669" w:rsidRDefault="004E3669" w:rsidP="004E3669">
      <w:pPr>
        <w:pBdr>
          <w:bottom w:val="single" w:sz="4" w:space="1" w:color="auto"/>
        </w:pBdr>
        <w:spacing w:line="240" w:lineRule="auto"/>
        <w:rPr>
          <w:rFonts w:asciiTheme="majorHAnsi" w:hAnsiTheme="majorHAnsi"/>
          <w:b/>
        </w:rPr>
      </w:pPr>
      <w:r>
        <w:rPr>
          <w:rFonts w:asciiTheme="majorHAnsi" w:hAnsiTheme="majorHAnsi"/>
          <w:b/>
        </w:rPr>
        <w:t xml:space="preserve">A. </w:t>
      </w:r>
      <w:r w:rsidRPr="004E3669">
        <w:rPr>
          <w:rFonts w:asciiTheme="majorHAnsi" w:hAnsiTheme="majorHAnsi"/>
          <w:b/>
        </w:rPr>
        <w:t>Status of compliance</w:t>
      </w:r>
    </w:p>
    <w:p w14:paraId="00B3FA54" w14:textId="77777777" w:rsidR="003F27B0" w:rsidRPr="00510B4F" w:rsidRDefault="003F27B0" w:rsidP="00D61B27">
      <w:pPr>
        <w:pStyle w:val="ListParagraph"/>
        <w:numPr>
          <w:ilvl w:val="0"/>
          <w:numId w:val="3"/>
        </w:numPr>
        <w:spacing w:after="0" w:line="240" w:lineRule="auto"/>
        <w:rPr>
          <w:rFonts w:asciiTheme="majorHAnsi" w:hAnsiTheme="majorHAnsi"/>
        </w:rPr>
      </w:pPr>
      <w:r w:rsidRPr="00510B4F">
        <w:rPr>
          <w:rFonts w:asciiTheme="majorHAnsi" w:hAnsiTheme="majorHAnsi"/>
        </w:rPr>
        <w:t xml:space="preserve">EPCA report dated October 2015 had estimated that light and heavy-duty commercial trucks contributed some 30 per cent of the PM load of transport sector. </w:t>
      </w:r>
    </w:p>
    <w:p w14:paraId="139727AF" w14:textId="77777777" w:rsidR="003F27B0" w:rsidRPr="00510B4F" w:rsidRDefault="003F27B0" w:rsidP="00D61B27">
      <w:pPr>
        <w:pStyle w:val="ListParagraph"/>
        <w:numPr>
          <w:ilvl w:val="0"/>
          <w:numId w:val="3"/>
        </w:numPr>
        <w:spacing w:after="0" w:line="240" w:lineRule="auto"/>
        <w:rPr>
          <w:rFonts w:asciiTheme="majorHAnsi" w:hAnsiTheme="majorHAnsi"/>
        </w:rPr>
      </w:pPr>
      <w:r w:rsidRPr="00510B4F">
        <w:rPr>
          <w:rFonts w:asciiTheme="majorHAnsi" w:hAnsiTheme="majorHAnsi"/>
        </w:rPr>
        <w:t xml:space="preserve">EPCA, based on a study commissioned through V R </w:t>
      </w:r>
      <w:proofErr w:type="spellStart"/>
      <w:r w:rsidRPr="00510B4F">
        <w:rPr>
          <w:rFonts w:asciiTheme="majorHAnsi" w:hAnsiTheme="majorHAnsi"/>
        </w:rPr>
        <w:t>Techniche</w:t>
      </w:r>
      <w:proofErr w:type="spellEnd"/>
      <w:r w:rsidRPr="00510B4F">
        <w:rPr>
          <w:rFonts w:asciiTheme="majorHAnsi" w:hAnsiTheme="majorHAnsi"/>
        </w:rPr>
        <w:t xml:space="preserve"> Consultants had estimated that on a daily basis there were 38,588 commercial vehicles in category 2-5 that entered Delhi from 9 main entry points. </w:t>
      </w:r>
    </w:p>
    <w:p w14:paraId="28DA1CC6" w14:textId="77777777" w:rsidR="003F27B0" w:rsidRPr="00510B4F" w:rsidRDefault="003F27B0" w:rsidP="00D61B27">
      <w:pPr>
        <w:pStyle w:val="ListParagraph"/>
        <w:numPr>
          <w:ilvl w:val="0"/>
          <w:numId w:val="3"/>
        </w:numPr>
        <w:spacing w:after="0" w:line="240" w:lineRule="auto"/>
        <w:rPr>
          <w:rFonts w:asciiTheme="majorHAnsi" w:hAnsiTheme="majorHAnsi"/>
        </w:rPr>
      </w:pPr>
      <w:r w:rsidRPr="00510B4F">
        <w:rPr>
          <w:rFonts w:asciiTheme="majorHAnsi" w:hAnsiTheme="majorHAnsi"/>
        </w:rPr>
        <w:t xml:space="preserve">The toll concessionaire SMYR Consortium LLP has given an estimate that there has been a 30 per cent decline in commercial vehicle entry post since November 6 2015 – when ECC was first imposed. </w:t>
      </w:r>
    </w:p>
    <w:p w14:paraId="528E9FBF" w14:textId="77777777" w:rsidR="00510B4F" w:rsidRPr="00D61B27" w:rsidRDefault="003F27B0" w:rsidP="00D61B27">
      <w:pPr>
        <w:pStyle w:val="ListParagraph"/>
        <w:numPr>
          <w:ilvl w:val="0"/>
          <w:numId w:val="3"/>
        </w:numPr>
        <w:spacing w:after="0" w:line="240" w:lineRule="auto"/>
        <w:rPr>
          <w:rFonts w:asciiTheme="majorHAnsi" w:hAnsiTheme="majorHAnsi"/>
        </w:rPr>
      </w:pPr>
      <w:r w:rsidRPr="00510B4F">
        <w:rPr>
          <w:rFonts w:asciiTheme="majorHAnsi" w:hAnsiTheme="majorHAnsi"/>
        </w:rPr>
        <w:t xml:space="preserve">To better estimate this, EPCA has relied on data provided by SMYR for the months of October and November and also an independent survey commissioned to V R </w:t>
      </w:r>
      <w:proofErr w:type="spellStart"/>
      <w:r w:rsidRPr="00510B4F">
        <w:rPr>
          <w:rFonts w:asciiTheme="majorHAnsi" w:hAnsiTheme="majorHAnsi"/>
        </w:rPr>
        <w:t>Techniche</w:t>
      </w:r>
      <w:proofErr w:type="spellEnd"/>
      <w:r w:rsidRPr="00510B4F">
        <w:rPr>
          <w:rFonts w:asciiTheme="majorHAnsi" w:hAnsiTheme="majorHAnsi"/>
        </w:rPr>
        <w:t xml:space="preserve"> Consultants by CSE, which was undertaken over 2 days in December. </w:t>
      </w:r>
    </w:p>
    <w:p w14:paraId="44935357" w14:textId="77777777" w:rsidR="003F27B0" w:rsidRPr="00510B4F" w:rsidRDefault="003F27B0" w:rsidP="00D61B27">
      <w:pPr>
        <w:pStyle w:val="ListParagraph"/>
        <w:numPr>
          <w:ilvl w:val="0"/>
          <w:numId w:val="3"/>
        </w:numPr>
        <w:spacing w:after="0" w:line="240" w:lineRule="auto"/>
        <w:rPr>
          <w:rFonts w:asciiTheme="majorHAnsi" w:hAnsiTheme="majorHAnsi"/>
        </w:rPr>
      </w:pPr>
      <w:r w:rsidRPr="00510B4F">
        <w:rPr>
          <w:rFonts w:asciiTheme="majorHAnsi" w:hAnsiTheme="majorHAnsi"/>
        </w:rPr>
        <w:lastRenderedPageBreak/>
        <w:t xml:space="preserve">The findings are as follows: </w:t>
      </w:r>
    </w:p>
    <w:tbl>
      <w:tblPr>
        <w:tblStyle w:val="TableGrid"/>
        <w:tblW w:w="0" w:type="auto"/>
        <w:tblInd w:w="756" w:type="dxa"/>
        <w:tblLook w:val="04A0" w:firstRow="1" w:lastRow="0" w:firstColumn="1" w:lastColumn="0" w:noHBand="0" w:noVBand="1"/>
      </w:tblPr>
      <w:tblGrid>
        <w:gridCol w:w="910"/>
        <w:gridCol w:w="2270"/>
        <w:gridCol w:w="2268"/>
        <w:gridCol w:w="1385"/>
      </w:tblGrid>
      <w:tr w:rsidR="003F27B0" w:rsidRPr="00510B4F" w14:paraId="5F3C83A7" w14:textId="77777777" w:rsidTr="00D61B27">
        <w:tc>
          <w:tcPr>
            <w:tcW w:w="910" w:type="dxa"/>
          </w:tcPr>
          <w:p w14:paraId="62F116CE" w14:textId="77777777" w:rsidR="003F27B0" w:rsidRPr="00510B4F" w:rsidRDefault="003F27B0" w:rsidP="00D61B27">
            <w:pPr>
              <w:rPr>
                <w:rFonts w:asciiTheme="majorHAnsi" w:hAnsiTheme="majorHAnsi"/>
                <w:sz w:val="22"/>
                <w:szCs w:val="22"/>
              </w:rPr>
            </w:pPr>
          </w:p>
        </w:tc>
        <w:tc>
          <w:tcPr>
            <w:tcW w:w="2270" w:type="dxa"/>
          </w:tcPr>
          <w:p w14:paraId="5604D3BF" w14:textId="77777777" w:rsidR="003F27B0" w:rsidRPr="00510B4F" w:rsidRDefault="003F27B0" w:rsidP="00D61B27">
            <w:pPr>
              <w:rPr>
                <w:rFonts w:asciiTheme="majorHAnsi" w:hAnsiTheme="majorHAnsi"/>
                <w:sz w:val="22"/>
                <w:szCs w:val="22"/>
              </w:rPr>
            </w:pPr>
            <w:r w:rsidRPr="00510B4F">
              <w:rPr>
                <w:rFonts w:asciiTheme="majorHAnsi" w:hAnsiTheme="majorHAnsi"/>
                <w:sz w:val="22"/>
                <w:szCs w:val="22"/>
              </w:rPr>
              <w:t>Daily entry prior to ECC (category 2-5)</w:t>
            </w:r>
          </w:p>
        </w:tc>
        <w:tc>
          <w:tcPr>
            <w:tcW w:w="2268" w:type="dxa"/>
          </w:tcPr>
          <w:p w14:paraId="123C2A58" w14:textId="77777777" w:rsidR="003F27B0" w:rsidRPr="00510B4F" w:rsidRDefault="003F27B0" w:rsidP="00D61B27">
            <w:pPr>
              <w:rPr>
                <w:rFonts w:asciiTheme="majorHAnsi" w:hAnsiTheme="majorHAnsi"/>
                <w:sz w:val="22"/>
                <w:szCs w:val="22"/>
              </w:rPr>
            </w:pPr>
            <w:r w:rsidRPr="00510B4F">
              <w:rPr>
                <w:rFonts w:asciiTheme="majorHAnsi" w:hAnsiTheme="majorHAnsi"/>
                <w:sz w:val="22"/>
                <w:szCs w:val="22"/>
              </w:rPr>
              <w:t>Daily entry post ECC (category 2-5)</w:t>
            </w:r>
          </w:p>
        </w:tc>
        <w:tc>
          <w:tcPr>
            <w:tcW w:w="1385" w:type="dxa"/>
          </w:tcPr>
          <w:p w14:paraId="29313149" w14:textId="77777777" w:rsidR="003F27B0" w:rsidRPr="00510B4F" w:rsidRDefault="003F27B0" w:rsidP="00D61B27">
            <w:pPr>
              <w:rPr>
                <w:rFonts w:asciiTheme="majorHAnsi" w:hAnsiTheme="majorHAnsi"/>
                <w:sz w:val="22"/>
                <w:szCs w:val="22"/>
              </w:rPr>
            </w:pPr>
            <w:r w:rsidRPr="00510B4F">
              <w:rPr>
                <w:rFonts w:asciiTheme="majorHAnsi" w:hAnsiTheme="majorHAnsi"/>
                <w:sz w:val="22"/>
                <w:szCs w:val="22"/>
              </w:rPr>
              <w:t>Reduction in %</w:t>
            </w:r>
          </w:p>
        </w:tc>
      </w:tr>
      <w:tr w:rsidR="003F27B0" w:rsidRPr="00510B4F" w14:paraId="6314E8C8" w14:textId="77777777" w:rsidTr="00D61B27">
        <w:tc>
          <w:tcPr>
            <w:tcW w:w="910" w:type="dxa"/>
          </w:tcPr>
          <w:p w14:paraId="2F93781C" w14:textId="77777777" w:rsidR="003F27B0" w:rsidRPr="00510B4F" w:rsidRDefault="003F27B0" w:rsidP="00D61B27">
            <w:pPr>
              <w:rPr>
                <w:rFonts w:asciiTheme="majorHAnsi" w:hAnsiTheme="majorHAnsi"/>
                <w:sz w:val="22"/>
                <w:szCs w:val="22"/>
              </w:rPr>
            </w:pPr>
            <w:r w:rsidRPr="00510B4F">
              <w:rPr>
                <w:rFonts w:asciiTheme="majorHAnsi" w:hAnsiTheme="majorHAnsi"/>
                <w:sz w:val="22"/>
                <w:szCs w:val="22"/>
              </w:rPr>
              <w:t>SMYR</w:t>
            </w:r>
          </w:p>
        </w:tc>
        <w:tc>
          <w:tcPr>
            <w:tcW w:w="2270" w:type="dxa"/>
          </w:tcPr>
          <w:p w14:paraId="477386DD" w14:textId="77777777" w:rsidR="003F27B0" w:rsidRPr="00510B4F" w:rsidRDefault="003F27B0" w:rsidP="00D61B27">
            <w:pPr>
              <w:rPr>
                <w:rFonts w:asciiTheme="majorHAnsi" w:hAnsiTheme="majorHAnsi"/>
                <w:sz w:val="22"/>
                <w:szCs w:val="22"/>
              </w:rPr>
            </w:pPr>
            <w:r w:rsidRPr="00510B4F">
              <w:rPr>
                <w:rFonts w:asciiTheme="majorHAnsi" w:hAnsiTheme="majorHAnsi"/>
                <w:sz w:val="22"/>
                <w:szCs w:val="22"/>
              </w:rPr>
              <w:t xml:space="preserve">     35,143</w:t>
            </w:r>
          </w:p>
        </w:tc>
        <w:tc>
          <w:tcPr>
            <w:tcW w:w="2268" w:type="dxa"/>
          </w:tcPr>
          <w:p w14:paraId="3609AB12" w14:textId="77777777" w:rsidR="003F27B0" w:rsidRPr="00510B4F" w:rsidRDefault="003F27B0" w:rsidP="00D61B27">
            <w:pPr>
              <w:rPr>
                <w:rFonts w:asciiTheme="majorHAnsi" w:hAnsiTheme="majorHAnsi"/>
                <w:sz w:val="22"/>
                <w:szCs w:val="22"/>
              </w:rPr>
            </w:pPr>
            <w:r w:rsidRPr="00510B4F">
              <w:rPr>
                <w:rFonts w:asciiTheme="majorHAnsi" w:hAnsiTheme="majorHAnsi"/>
                <w:sz w:val="22"/>
                <w:szCs w:val="22"/>
              </w:rPr>
              <w:t>24,087</w:t>
            </w:r>
          </w:p>
        </w:tc>
        <w:tc>
          <w:tcPr>
            <w:tcW w:w="1385" w:type="dxa"/>
          </w:tcPr>
          <w:p w14:paraId="2BF4A2C3" w14:textId="77777777" w:rsidR="003F27B0" w:rsidRPr="00510B4F" w:rsidRDefault="003F27B0" w:rsidP="00D61B27">
            <w:pPr>
              <w:rPr>
                <w:rFonts w:asciiTheme="majorHAnsi" w:hAnsiTheme="majorHAnsi"/>
                <w:sz w:val="22"/>
                <w:szCs w:val="22"/>
              </w:rPr>
            </w:pPr>
            <w:r w:rsidRPr="00510B4F">
              <w:rPr>
                <w:rFonts w:asciiTheme="majorHAnsi" w:hAnsiTheme="majorHAnsi"/>
                <w:sz w:val="22"/>
                <w:szCs w:val="22"/>
              </w:rPr>
              <w:t>-31.5%</w:t>
            </w:r>
          </w:p>
        </w:tc>
      </w:tr>
      <w:tr w:rsidR="003F27B0" w:rsidRPr="00510B4F" w14:paraId="4D0942F5" w14:textId="77777777" w:rsidTr="00D61B27">
        <w:tc>
          <w:tcPr>
            <w:tcW w:w="910" w:type="dxa"/>
          </w:tcPr>
          <w:p w14:paraId="3433279C" w14:textId="77777777" w:rsidR="003F27B0" w:rsidRPr="00510B4F" w:rsidRDefault="003F27B0" w:rsidP="00D61B27">
            <w:pPr>
              <w:rPr>
                <w:rFonts w:asciiTheme="majorHAnsi" w:hAnsiTheme="majorHAnsi"/>
                <w:sz w:val="22"/>
                <w:szCs w:val="22"/>
              </w:rPr>
            </w:pPr>
            <w:r w:rsidRPr="00510B4F">
              <w:rPr>
                <w:rFonts w:asciiTheme="majorHAnsi" w:hAnsiTheme="majorHAnsi"/>
                <w:sz w:val="22"/>
                <w:szCs w:val="22"/>
              </w:rPr>
              <w:t>CSE</w:t>
            </w:r>
          </w:p>
        </w:tc>
        <w:tc>
          <w:tcPr>
            <w:tcW w:w="2270" w:type="dxa"/>
          </w:tcPr>
          <w:p w14:paraId="2983552E" w14:textId="77777777" w:rsidR="003F27B0" w:rsidRPr="00510B4F" w:rsidRDefault="003F27B0" w:rsidP="00D61B27">
            <w:pPr>
              <w:rPr>
                <w:rFonts w:asciiTheme="majorHAnsi" w:hAnsiTheme="majorHAnsi"/>
                <w:sz w:val="22"/>
                <w:szCs w:val="22"/>
              </w:rPr>
            </w:pPr>
            <w:r w:rsidRPr="00510B4F">
              <w:rPr>
                <w:rFonts w:asciiTheme="majorHAnsi" w:hAnsiTheme="majorHAnsi"/>
                <w:sz w:val="22"/>
                <w:szCs w:val="22"/>
              </w:rPr>
              <w:t xml:space="preserve">     38,588</w:t>
            </w:r>
          </w:p>
        </w:tc>
        <w:tc>
          <w:tcPr>
            <w:tcW w:w="2268" w:type="dxa"/>
          </w:tcPr>
          <w:p w14:paraId="2E678075" w14:textId="77777777" w:rsidR="003F27B0" w:rsidRPr="00510B4F" w:rsidRDefault="003F27B0" w:rsidP="00D61B27">
            <w:pPr>
              <w:rPr>
                <w:rFonts w:asciiTheme="majorHAnsi" w:hAnsiTheme="majorHAnsi"/>
                <w:sz w:val="22"/>
                <w:szCs w:val="22"/>
              </w:rPr>
            </w:pPr>
            <w:r w:rsidRPr="00510B4F">
              <w:rPr>
                <w:rFonts w:asciiTheme="majorHAnsi" w:hAnsiTheme="majorHAnsi"/>
                <w:sz w:val="22"/>
                <w:szCs w:val="22"/>
              </w:rPr>
              <w:t xml:space="preserve">31,326            </w:t>
            </w:r>
          </w:p>
        </w:tc>
        <w:tc>
          <w:tcPr>
            <w:tcW w:w="1385" w:type="dxa"/>
            <w:vAlign w:val="bottom"/>
          </w:tcPr>
          <w:p w14:paraId="53B7CB90" w14:textId="77777777" w:rsidR="003F27B0" w:rsidRPr="00510B4F" w:rsidRDefault="003F27B0" w:rsidP="00D61B27">
            <w:pPr>
              <w:rPr>
                <w:rFonts w:asciiTheme="majorHAnsi" w:hAnsiTheme="majorHAnsi"/>
                <w:sz w:val="22"/>
                <w:szCs w:val="22"/>
              </w:rPr>
            </w:pPr>
            <w:r w:rsidRPr="00510B4F">
              <w:rPr>
                <w:rFonts w:asciiTheme="majorHAnsi" w:hAnsiTheme="majorHAnsi"/>
                <w:sz w:val="22"/>
                <w:szCs w:val="22"/>
              </w:rPr>
              <w:t>-19  %</w:t>
            </w:r>
          </w:p>
        </w:tc>
      </w:tr>
    </w:tbl>
    <w:p w14:paraId="775A7D34" w14:textId="77777777" w:rsidR="003F27B0" w:rsidRPr="00510B4F" w:rsidRDefault="003F27B0" w:rsidP="00D61B27">
      <w:pPr>
        <w:spacing w:line="240" w:lineRule="auto"/>
        <w:rPr>
          <w:rFonts w:asciiTheme="majorHAnsi" w:hAnsiTheme="majorHAnsi"/>
        </w:rPr>
      </w:pPr>
    </w:p>
    <w:p w14:paraId="658229AD" w14:textId="77777777" w:rsidR="00D61B27" w:rsidRDefault="00D61B27" w:rsidP="00D61B27">
      <w:pPr>
        <w:pStyle w:val="ListParagraph"/>
        <w:numPr>
          <w:ilvl w:val="0"/>
          <w:numId w:val="4"/>
        </w:numPr>
        <w:spacing w:after="0" w:line="240" w:lineRule="auto"/>
        <w:rPr>
          <w:rFonts w:asciiTheme="majorHAnsi" w:hAnsiTheme="majorHAnsi"/>
        </w:rPr>
      </w:pPr>
      <w:r>
        <w:rPr>
          <w:rFonts w:asciiTheme="majorHAnsi" w:hAnsiTheme="majorHAnsi"/>
        </w:rPr>
        <w:t xml:space="preserve">On December 16, 2015, the </w:t>
      </w:r>
      <w:proofErr w:type="spellStart"/>
      <w:r>
        <w:rPr>
          <w:rFonts w:asciiTheme="majorHAnsi" w:hAnsiTheme="majorHAnsi"/>
        </w:rPr>
        <w:t>Hon’ble</w:t>
      </w:r>
      <w:proofErr w:type="spellEnd"/>
      <w:r>
        <w:rPr>
          <w:rFonts w:asciiTheme="majorHAnsi" w:hAnsiTheme="majorHAnsi"/>
        </w:rPr>
        <w:t xml:space="preserve"> Supreme Court has increased the quantum of the ECC, which is bound to have further impact on the volume of traffic entering Delhi. </w:t>
      </w:r>
    </w:p>
    <w:p w14:paraId="4D85C05E" w14:textId="77777777" w:rsidR="00D61B27" w:rsidRDefault="00D61B27" w:rsidP="00D61B27">
      <w:pPr>
        <w:pStyle w:val="ListParagraph"/>
        <w:numPr>
          <w:ilvl w:val="0"/>
          <w:numId w:val="4"/>
        </w:numPr>
        <w:spacing w:after="0" w:line="240" w:lineRule="auto"/>
        <w:rPr>
          <w:rFonts w:asciiTheme="majorHAnsi" w:hAnsiTheme="majorHAnsi"/>
        </w:rPr>
      </w:pPr>
      <w:r>
        <w:rPr>
          <w:rFonts w:asciiTheme="majorHAnsi" w:hAnsiTheme="majorHAnsi"/>
        </w:rPr>
        <w:t xml:space="preserve">The SDMC has on February 1, 2016 changed its toll concessionaire and made enforcement of collection stricter. It has also mandated computer receipts so that there is compliance with the directions of the </w:t>
      </w:r>
      <w:proofErr w:type="spellStart"/>
      <w:r>
        <w:rPr>
          <w:rFonts w:asciiTheme="majorHAnsi" w:hAnsiTheme="majorHAnsi"/>
        </w:rPr>
        <w:t>Hon’ble</w:t>
      </w:r>
      <w:proofErr w:type="spellEnd"/>
      <w:r>
        <w:rPr>
          <w:rFonts w:asciiTheme="majorHAnsi" w:hAnsiTheme="majorHAnsi"/>
        </w:rPr>
        <w:t xml:space="preserve"> Supreme Court. </w:t>
      </w:r>
    </w:p>
    <w:p w14:paraId="1F31ACEB" w14:textId="77777777" w:rsidR="00613A17" w:rsidRPr="00D61B27" w:rsidRDefault="00D61B27" w:rsidP="00D61B27">
      <w:pPr>
        <w:pStyle w:val="ListParagraph"/>
        <w:numPr>
          <w:ilvl w:val="0"/>
          <w:numId w:val="4"/>
        </w:numPr>
        <w:spacing w:after="0" w:line="240" w:lineRule="auto"/>
        <w:rPr>
          <w:rFonts w:asciiTheme="majorHAnsi" w:hAnsiTheme="majorHAnsi"/>
        </w:rPr>
      </w:pPr>
      <w:r w:rsidRPr="00D61B27">
        <w:rPr>
          <w:rFonts w:asciiTheme="majorHAnsi" w:hAnsiTheme="majorHAnsi"/>
        </w:rPr>
        <w:t xml:space="preserve">Haryana government has set up 13 check posts and is diverting roughly 10,000 vehicles </w:t>
      </w:r>
      <w:r>
        <w:rPr>
          <w:rFonts w:asciiTheme="majorHAnsi" w:hAnsiTheme="majorHAnsi"/>
        </w:rPr>
        <w:t>every day. These concerted efforts are</w:t>
      </w:r>
      <w:r w:rsidRPr="00D61B27">
        <w:rPr>
          <w:rFonts w:asciiTheme="majorHAnsi" w:hAnsiTheme="majorHAnsi"/>
        </w:rPr>
        <w:t xml:space="preserve"> verified also through the increase in numbers seen on the toll highway, NH71 and NH 71a. </w:t>
      </w:r>
      <w:r w:rsidR="00613A17" w:rsidRPr="00D61B27">
        <w:rPr>
          <w:rFonts w:asciiTheme="majorHAnsi" w:hAnsiTheme="majorHAnsi"/>
        </w:rPr>
        <w:t xml:space="preserve">Delhi government has also installed CCTV’s at the 9 main entry points into Delhi from where almost 70% of the vehicles enter as per </w:t>
      </w:r>
      <w:proofErr w:type="spellStart"/>
      <w:r w:rsidR="00613A17" w:rsidRPr="00D61B27">
        <w:rPr>
          <w:rFonts w:asciiTheme="majorHAnsi" w:hAnsiTheme="majorHAnsi"/>
        </w:rPr>
        <w:t>Hon’ble</w:t>
      </w:r>
      <w:proofErr w:type="spellEnd"/>
      <w:r w:rsidR="00613A17" w:rsidRPr="00D61B27">
        <w:rPr>
          <w:rFonts w:asciiTheme="majorHAnsi" w:hAnsiTheme="majorHAnsi"/>
        </w:rPr>
        <w:t xml:space="preserve"> Supreme Court order dated 09.10.2015.</w:t>
      </w:r>
    </w:p>
    <w:p w14:paraId="4FC373E2" w14:textId="77777777" w:rsidR="00613A17" w:rsidRPr="00D61B27" w:rsidRDefault="00613A17" w:rsidP="00D61B27">
      <w:pPr>
        <w:pStyle w:val="ListParagraph"/>
        <w:numPr>
          <w:ilvl w:val="0"/>
          <w:numId w:val="4"/>
        </w:numPr>
        <w:spacing w:after="0" w:line="240" w:lineRule="auto"/>
        <w:rPr>
          <w:rFonts w:asciiTheme="majorHAnsi" w:hAnsiTheme="majorHAnsi"/>
        </w:rPr>
      </w:pPr>
      <w:r w:rsidRPr="00510B4F">
        <w:rPr>
          <w:rFonts w:asciiTheme="majorHAnsi" w:hAnsiTheme="majorHAnsi"/>
        </w:rPr>
        <w:t xml:space="preserve">Delhi government’s contractor (M/s </w:t>
      </w:r>
      <w:proofErr w:type="spellStart"/>
      <w:r w:rsidRPr="00510B4F">
        <w:rPr>
          <w:rFonts w:asciiTheme="majorHAnsi" w:hAnsiTheme="majorHAnsi"/>
        </w:rPr>
        <w:t>Elkosta</w:t>
      </w:r>
      <w:proofErr w:type="spellEnd"/>
      <w:r w:rsidRPr="00510B4F">
        <w:rPr>
          <w:rFonts w:asciiTheme="majorHAnsi" w:hAnsiTheme="majorHAnsi"/>
        </w:rPr>
        <w:t xml:space="preserve"> Security Systems India) did a traffic count of vehicles entering Delhi from </w:t>
      </w:r>
      <w:proofErr w:type="spellStart"/>
      <w:r w:rsidRPr="00510B4F">
        <w:rPr>
          <w:rFonts w:asciiTheme="majorHAnsi" w:hAnsiTheme="majorHAnsi"/>
        </w:rPr>
        <w:t>Kundli</w:t>
      </w:r>
      <w:proofErr w:type="spellEnd"/>
      <w:r w:rsidRPr="00510B4F">
        <w:rPr>
          <w:rFonts w:asciiTheme="majorHAnsi" w:hAnsiTheme="majorHAnsi"/>
        </w:rPr>
        <w:t xml:space="preserve"> and </w:t>
      </w:r>
      <w:proofErr w:type="spellStart"/>
      <w:r w:rsidRPr="00510B4F">
        <w:rPr>
          <w:rFonts w:asciiTheme="majorHAnsi" w:hAnsiTheme="majorHAnsi"/>
        </w:rPr>
        <w:t>Badarpur</w:t>
      </w:r>
      <w:proofErr w:type="spellEnd"/>
      <w:r w:rsidRPr="00510B4F">
        <w:rPr>
          <w:rFonts w:asciiTheme="majorHAnsi" w:hAnsiTheme="majorHAnsi"/>
        </w:rPr>
        <w:t xml:space="preserve"> toll plaza between 08.02.2016 to 10.02.2016.</w:t>
      </w:r>
      <w:r w:rsidR="00D61B27">
        <w:rPr>
          <w:rFonts w:asciiTheme="majorHAnsi" w:hAnsiTheme="majorHAnsi"/>
        </w:rPr>
        <w:t xml:space="preserve"> However, this is not comparable with the traffic </w:t>
      </w:r>
      <w:r w:rsidRPr="00D61B27">
        <w:rPr>
          <w:rFonts w:asciiTheme="majorHAnsi" w:hAnsiTheme="majorHAnsi"/>
        </w:rPr>
        <w:t xml:space="preserve">data provided by the </w:t>
      </w:r>
      <w:r w:rsidR="00553CB8" w:rsidRPr="00D61B27">
        <w:rPr>
          <w:rFonts w:asciiTheme="majorHAnsi" w:hAnsiTheme="majorHAnsi"/>
        </w:rPr>
        <w:t xml:space="preserve">Transport Department GNCT </w:t>
      </w:r>
      <w:r w:rsidRPr="00D61B27">
        <w:rPr>
          <w:rFonts w:asciiTheme="majorHAnsi" w:hAnsiTheme="majorHAnsi"/>
        </w:rPr>
        <w:t xml:space="preserve">Delhi’s contractor and SDMC’s toll </w:t>
      </w:r>
      <w:proofErr w:type="gramStart"/>
      <w:r w:rsidRPr="00D61B27">
        <w:rPr>
          <w:rFonts w:asciiTheme="majorHAnsi" w:hAnsiTheme="majorHAnsi"/>
        </w:rPr>
        <w:t>concessionaire’s</w:t>
      </w:r>
      <w:proofErr w:type="gramEnd"/>
      <w:r w:rsidRPr="00D61B27">
        <w:rPr>
          <w:rFonts w:asciiTheme="majorHAnsi" w:hAnsiTheme="majorHAnsi"/>
        </w:rPr>
        <w:t xml:space="preserve"> (M/s DEP Tolls LLP) were compared. </w:t>
      </w:r>
      <w:r w:rsidR="00D61B27">
        <w:rPr>
          <w:rFonts w:asciiTheme="majorHAnsi" w:hAnsiTheme="majorHAnsi"/>
        </w:rPr>
        <w:t xml:space="preserve">The Delhi government will have to check why this discrepancy exists and inform EPCA how it will comply with the directions </w:t>
      </w:r>
      <w:r w:rsidR="004E3669">
        <w:rPr>
          <w:rFonts w:asciiTheme="majorHAnsi" w:hAnsiTheme="majorHAnsi"/>
        </w:rPr>
        <w:t>of t</w:t>
      </w:r>
      <w:r w:rsidR="00D61B27">
        <w:rPr>
          <w:rFonts w:asciiTheme="majorHAnsi" w:hAnsiTheme="majorHAnsi"/>
        </w:rPr>
        <w:t xml:space="preserve">he </w:t>
      </w:r>
      <w:proofErr w:type="spellStart"/>
      <w:r w:rsidR="00D61B27">
        <w:rPr>
          <w:rFonts w:asciiTheme="majorHAnsi" w:hAnsiTheme="majorHAnsi"/>
        </w:rPr>
        <w:t>Hon’ble</w:t>
      </w:r>
      <w:proofErr w:type="spellEnd"/>
      <w:r w:rsidR="00D61B27">
        <w:rPr>
          <w:rFonts w:asciiTheme="majorHAnsi" w:hAnsiTheme="majorHAnsi"/>
        </w:rPr>
        <w:t xml:space="preserve"> Supreme Court </w:t>
      </w:r>
      <w:r w:rsidR="004E3669">
        <w:rPr>
          <w:rFonts w:asciiTheme="majorHAnsi" w:hAnsiTheme="majorHAnsi"/>
        </w:rPr>
        <w:t xml:space="preserve">to ensure enforcement. </w:t>
      </w:r>
      <w:r w:rsidRPr="00D61B27">
        <w:rPr>
          <w:rFonts w:asciiTheme="majorHAnsi" w:hAnsiTheme="majorHAnsi"/>
        </w:rPr>
        <w:t xml:space="preserve">The findings are as follows: </w:t>
      </w:r>
    </w:p>
    <w:p w14:paraId="18418E01" w14:textId="77777777" w:rsidR="003F27B0" w:rsidRPr="00510B4F" w:rsidRDefault="003F27B0" w:rsidP="00D61B27">
      <w:pPr>
        <w:pStyle w:val="ListParagraph"/>
        <w:spacing w:after="0" w:line="240" w:lineRule="auto"/>
        <w:ind w:left="360"/>
        <w:rPr>
          <w:rFonts w:asciiTheme="majorHAnsi" w:hAnsiTheme="majorHAnsi"/>
        </w:rPr>
      </w:pPr>
    </w:p>
    <w:p w14:paraId="25F17B3B" w14:textId="77777777" w:rsidR="00B87801" w:rsidRPr="00510B4F" w:rsidRDefault="00B87801" w:rsidP="00D61B27">
      <w:pPr>
        <w:pStyle w:val="ListParagraph"/>
        <w:spacing w:after="0" w:line="240" w:lineRule="auto"/>
        <w:ind w:left="0"/>
        <w:rPr>
          <w:rFonts w:asciiTheme="majorHAnsi" w:hAnsiTheme="majorHAnsi"/>
          <w:b/>
        </w:rPr>
      </w:pPr>
      <w:r w:rsidRPr="00510B4F">
        <w:rPr>
          <w:rFonts w:asciiTheme="majorHAnsi" w:hAnsiTheme="majorHAnsi"/>
          <w:b/>
        </w:rPr>
        <w:t xml:space="preserve">Table1: Daily average vehicles entering Delhi from </w:t>
      </w:r>
      <w:proofErr w:type="spellStart"/>
      <w:r w:rsidRPr="00510B4F">
        <w:rPr>
          <w:rFonts w:asciiTheme="majorHAnsi" w:hAnsiTheme="majorHAnsi"/>
          <w:b/>
        </w:rPr>
        <w:t>Kundli</w:t>
      </w:r>
      <w:proofErr w:type="spellEnd"/>
      <w:r w:rsidRPr="00510B4F">
        <w:rPr>
          <w:rFonts w:asciiTheme="majorHAnsi" w:hAnsiTheme="majorHAnsi"/>
          <w:b/>
        </w:rPr>
        <w:t xml:space="preserve"> and </w:t>
      </w:r>
      <w:proofErr w:type="spellStart"/>
      <w:r w:rsidRPr="00510B4F">
        <w:rPr>
          <w:rFonts w:asciiTheme="majorHAnsi" w:hAnsiTheme="majorHAnsi"/>
          <w:b/>
        </w:rPr>
        <w:t>Badarpur</w:t>
      </w:r>
      <w:proofErr w:type="spellEnd"/>
      <w:r w:rsidRPr="00510B4F">
        <w:rPr>
          <w:rFonts w:asciiTheme="majorHAnsi" w:hAnsiTheme="majorHAnsi"/>
          <w:b/>
        </w:rPr>
        <w:t xml:space="preserve"> between 08.02.2016 to 10.02.2016</w:t>
      </w:r>
    </w:p>
    <w:tbl>
      <w:tblPr>
        <w:tblW w:w="7518" w:type="dxa"/>
        <w:tblInd w:w="103" w:type="dxa"/>
        <w:tblLayout w:type="fixed"/>
        <w:tblLook w:val="04A0" w:firstRow="1" w:lastRow="0" w:firstColumn="1" w:lastColumn="0" w:noHBand="0" w:noVBand="1"/>
      </w:tblPr>
      <w:tblGrid>
        <w:gridCol w:w="4683"/>
        <w:gridCol w:w="1134"/>
        <w:gridCol w:w="1701"/>
      </w:tblGrid>
      <w:tr w:rsidR="004E3669" w:rsidRPr="00613A17" w14:paraId="3C4FFE50" w14:textId="77777777" w:rsidTr="004E3669">
        <w:trPr>
          <w:trHeight w:val="383"/>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1491F" w14:textId="77777777" w:rsidR="004E3669" w:rsidRPr="00613A17" w:rsidRDefault="004E3669" w:rsidP="00D61B27">
            <w:pPr>
              <w:spacing w:after="0" w:line="240" w:lineRule="auto"/>
              <w:rPr>
                <w:rFonts w:asciiTheme="majorHAnsi" w:eastAsia="Times New Roman" w:hAnsiTheme="majorHAnsi"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2EF70F" w14:textId="77777777" w:rsidR="004E3669" w:rsidRPr="00613A17" w:rsidRDefault="004E3669" w:rsidP="00D61B27">
            <w:pPr>
              <w:spacing w:after="0" w:line="240" w:lineRule="auto"/>
              <w:rPr>
                <w:rFonts w:asciiTheme="majorHAnsi" w:eastAsia="Times New Roman" w:hAnsiTheme="majorHAnsi" w:cs="Times New Roman"/>
                <w:color w:val="000000"/>
              </w:rPr>
            </w:pPr>
            <w:r w:rsidRPr="00613A17">
              <w:rPr>
                <w:rFonts w:asciiTheme="majorHAnsi" w:eastAsia="Times New Roman" w:hAnsiTheme="majorHAnsi" w:cs="Times New Roman"/>
                <w:color w:val="000000"/>
              </w:rPr>
              <w:t>ESSI (Delhi Govt.)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AC9019E" w14:textId="77777777" w:rsidR="004E3669" w:rsidRPr="00613A17" w:rsidRDefault="004E3669" w:rsidP="00D61B27">
            <w:pPr>
              <w:spacing w:after="0" w:line="240" w:lineRule="auto"/>
              <w:rPr>
                <w:rFonts w:asciiTheme="majorHAnsi" w:eastAsia="Times New Roman" w:hAnsiTheme="majorHAnsi" w:cs="Times New Roman"/>
                <w:color w:val="000000"/>
              </w:rPr>
            </w:pPr>
            <w:r w:rsidRPr="00613A17">
              <w:rPr>
                <w:rFonts w:asciiTheme="majorHAnsi" w:eastAsia="Times New Roman" w:hAnsiTheme="majorHAnsi" w:cs="Times New Roman"/>
                <w:color w:val="000000"/>
              </w:rPr>
              <w:t>DEP (SDMC Toll Collector)</w:t>
            </w:r>
          </w:p>
        </w:tc>
      </w:tr>
      <w:tr w:rsidR="004E3669" w:rsidRPr="00613A17" w14:paraId="6673441C" w14:textId="77777777" w:rsidTr="004E3669">
        <w:trPr>
          <w:trHeight w:val="403"/>
        </w:trPr>
        <w:tc>
          <w:tcPr>
            <w:tcW w:w="4683" w:type="dxa"/>
            <w:tcBorders>
              <w:top w:val="nil"/>
              <w:left w:val="single" w:sz="4" w:space="0" w:color="auto"/>
              <w:bottom w:val="single" w:sz="4" w:space="0" w:color="auto"/>
              <w:right w:val="single" w:sz="4" w:space="0" w:color="auto"/>
            </w:tcBorders>
            <w:shd w:val="clear" w:color="auto" w:fill="auto"/>
            <w:vAlign w:val="center"/>
            <w:hideMark/>
          </w:tcPr>
          <w:p w14:paraId="63DC1CE6" w14:textId="77777777" w:rsidR="004E3669" w:rsidRPr="00613A17" w:rsidRDefault="004E3669" w:rsidP="00D61B27">
            <w:pPr>
              <w:spacing w:after="0" w:line="240" w:lineRule="auto"/>
              <w:rPr>
                <w:rFonts w:asciiTheme="majorHAnsi" w:eastAsia="Times New Roman" w:hAnsiTheme="majorHAnsi" w:cs="Times New Roman"/>
                <w:color w:val="000000"/>
              </w:rPr>
            </w:pPr>
            <w:r w:rsidRPr="00613A17">
              <w:rPr>
                <w:rFonts w:asciiTheme="majorHAnsi" w:eastAsia="Times New Roman" w:hAnsiTheme="majorHAnsi" w:cs="Times New Roman"/>
                <w:color w:val="000000"/>
              </w:rPr>
              <w:t>Class 1 Vehicles</w:t>
            </w:r>
            <w:r>
              <w:rPr>
                <w:rFonts w:asciiTheme="majorHAnsi" w:eastAsia="Times New Roman" w:hAnsiTheme="majorHAnsi" w:cs="Times New Roman"/>
                <w:color w:val="000000"/>
              </w:rPr>
              <w:t xml:space="preserve"> </w:t>
            </w:r>
            <w:r w:rsidRPr="00613A17">
              <w:rPr>
                <w:rFonts w:asciiTheme="majorHAnsi" w:eastAsia="Times New Roman" w:hAnsiTheme="majorHAnsi" w:cs="Times New Roman"/>
                <w:color w:val="000000"/>
              </w:rPr>
              <w:t>(LGV's &amp; 2 Axle Trucks)</w:t>
            </w:r>
          </w:p>
        </w:tc>
        <w:tc>
          <w:tcPr>
            <w:tcW w:w="1134" w:type="dxa"/>
            <w:tcBorders>
              <w:top w:val="nil"/>
              <w:left w:val="nil"/>
              <w:bottom w:val="single" w:sz="4" w:space="0" w:color="auto"/>
              <w:right w:val="single" w:sz="4" w:space="0" w:color="auto"/>
            </w:tcBorders>
            <w:shd w:val="clear" w:color="auto" w:fill="auto"/>
            <w:noWrap/>
            <w:vAlign w:val="center"/>
            <w:hideMark/>
          </w:tcPr>
          <w:p w14:paraId="0E4D9B98" w14:textId="77777777" w:rsidR="004E3669" w:rsidRPr="00613A17" w:rsidRDefault="004E3669" w:rsidP="00D61B27">
            <w:pPr>
              <w:spacing w:after="0" w:line="240" w:lineRule="auto"/>
              <w:rPr>
                <w:rFonts w:asciiTheme="majorHAnsi" w:eastAsia="Times New Roman" w:hAnsiTheme="majorHAnsi" w:cs="Times New Roman"/>
                <w:color w:val="000000"/>
              </w:rPr>
            </w:pPr>
            <w:r w:rsidRPr="00613A17">
              <w:rPr>
                <w:rFonts w:asciiTheme="majorHAnsi" w:eastAsia="Times New Roman" w:hAnsiTheme="majorHAnsi" w:cs="Times New Roman"/>
                <w:color w:val="000000"/>
              </w:rPr>
              <w:t>2580</w:t>
            </w:r>
          </w:p>
        </w:tc>
        <w:tc>
          <w:tcPr>
            <w:tcW w:w="1701" w:type="dxa"/>
            <w:tcBorders>
              <w:top w:val="nil"/>
              <w:left w:val="nil"/>
              <w:bottom w:val="single" w:sz="4" w:space="0" w:color="auto"/>
              <w:right w:val="single" w:sz="4" w:space="0" w:color="auto"/>
            </w:tcBorders>
            <w:shd w:val="clear" w:color="auto" w:fill="auto"/>
            <w:noWrap/>
            <w:vAlign w:val="center"/>
            <w:hideMark/>
          </w:tcPr>
          <w:p w14:paraId="5256C93E" w14:textId="77777777" w:rsidR="004E3669" w:rsidRPr="00613A17" w:rsidRDefault="004E3669" w:rsidP="00D61B27">
            <w:pPr>
              <w:spacing w:after="0" w:line="240" w:lineRule="auto"/>
              <w:rPr>
                <w:rFonts w:asciiTheme="majorHAnsi" w:eastAsia="Times New Roman" w:hAnsiTheme="majorHAnsi" w:cs="Times New Roman"/>
                <w:color w:val="000000"/>
              </w:rPr>
            </w:pPr>
            <w:r w:rsidRPr="00613A17">
              <w:rPr>
                <w:rFonts w:asciiTheme="majorHAnsi" w:eastAsia="Times New Roman" w:hAnsiTheme="majorHAnsi" w:cs="Times New Roman"/>
                <w:color w:val="000000"/>
              </w:rPr>
              <w:t>544</w:t>
            </w:r>
          </w:p>
        </w:tc>
      </w:tr>
      <w:tr w:rsidR="004E3669" w:rsidRPr="00613A17" w14:paraId="6A6F9518" w14:textId="77777777" w:rsidTr="004E3669">
        <w:trPr>
          <w:trHeight w:val="354"/>
        </w:trPr>
        <w:tc>
          <w:tcPr>
            <w:tcW w:w="4683" w:type="dxa"/>
            <w:tcBorders>
              <w:top w:val="nil"/>
              <w:left w:val="single" w:sz="4" w:space="0" w:color="auto"/>
              <w:bottom w:val="single" w:sz="4" w:space="0" w:color="auto"/>
              <w:right w:val="single" w:sz="4" w:space="0" w:color="auto"/>
            </w:tcBorders>
            <w:shd w:val="clear" w:color="auto" w:fill="auto"/>
            <w:vAlign w:val="center"/>
            <w:hideMark/>
          </w:tcPr>
          <w:p w14:paraId="6F08D849" w14:textId="77777777" w:rsidR="004E3669" w:rsidRPr="00613A17" w:rsidRDefault="004E3669" w:rsidP="00D61B27">
            <w:pPr>
              <w:spacing w:after="0" w:line="240" w:lineRule="auto"/>
              <w:rPr>
                <w:rFonts w:asciiTheme="majorHAnsi" w:eastAsia="Times New Roman" w:hAnsiTheme="majorHAnsi" w:cs="Times New Roman"/>
                <w:color w:val="000000"/>
              </w:rPr>
            </w:pPr>
            <w:r w:rsidRPr="00613A17">
              <w:rPr>
                <w:rFonts w:asciiTheme="majorHAnsi" w:eastAsia="Times New Roman" w:hAnsiTheme="majorHAnsi" w:cs="Times New Roman"/>
                <w:color w:val="000000"/>
              </w:rPr>
              <w:t>Class 2 Vehicles</w:t>
            </w:r>
            <w:r>
              <w:rPr>
                <w:rFonts w:asciiTheme="majorHAnsi" w:eastAsia="Times New Roman" w:hAnsiTheme="majorHAnsi" w:cs="Times New Roman"/>
                <w:color w:val="000000"/>
              </w:rPr>
              <w:t xml:space="preserve"> </w:t>
            </w:r>
            <w:r w:rsidRPr="00613A17">
              <w:rPr>
                <w:rFonts w:asciiTheme="majorHAnsi" w:eastAsia="Times New Roman" w:hAnsiTheme="majorHAnsi" w:cs="Times New Roman"/>
                <w:color w:val="000000"/>
              </w:rPr>
              <w:t>(3 Axle Trucks &amp; Above)</w:t>
            </w:r>
          </w:p>
        </w:tc>
        <w:tc>
          <w:tcPr>
            <w:tcW w:w="1134" w:type="dxa"/>
            <w:tcBorders>
              <w:top w:val="nil"/>
              <w:left w:val="nil"/>
              <w:bottom w:val="single" w:sz="4" w:space="0" w:color="auto"/>
              <w:right w:val="single" w:sz="4" w:space="0" w:color="auto"/>
            </w:tcBorders>
            <w:shd w:val="clear" w:color="auto" w:fill="auto"/>
            <w:noWrap/>
            <w:vAlign w:val="center"/>
            <w:hideMark/>
          </w:tcPr>
          <w:p w14:paraId="415E5ADC" w14:textId="77777777" w:rsidR="004E3669" w:rsidRPr="00613A17" w:rsidRDefault="004E3669" w:rsidP="00D61B27">
            <w:pPr>
              <w:spacing w:after="0" w:line="240" w:lineRule="auto"/>
              <w:rPr>
                <w:rFonts w:asciiTheme="majorHAnsi" w:eastAsia="Times New Roman" w:hAnsiTheme="majorHAnsi" w:cs="Times New Roman"/>
                <w:color w:val="000000"/>
              </w:rPr>
            </w:pPr>
            <w:r w:rsidRPr="00613A17">
              <w:rPr>
                <w:rFonts w:asciiTheme="majorHAnsi" w:eastAsia="Times New Roman" w:hAnsiTheme="majorHAnsi" w:cs="Times New Roman"/>
                <w:color w:val="000000"/>
              </w:rPr>
              <w:t>358</w:t>
            </w:r>
          </w:p>
        </w:tc>
        <w:tc>
          <w:tcPr>
            <w:tcW w:w="1701" w:type="dxa"/>
            <w:tcBorders>
              <w:top w:val="nil"/>
              <w:left w:val="nil"/>
              <w:bottom w:val="single" w:sz="4" w:space="0" w:color="auto"/>
              <w:right w:val="single" w:sz="4" w:space="0" w:color="auto"/>
            </w:tcBorders>
            <w:shd w:val="clear" w:color="auto" w:fill="auto"/>
            <w:noWrap/>
            <w:vAlign w:val="center"/>
            <w:hideMark/>
          </w:tcPr>
          <w:p w14:paraId="5BD08AF4" w14:textId="77777777" w:rsidR="004E3669" w:rsidRPr="00613A17" w:rsidRDefault="004E3669" w:rsidP="00D61B27">
            <w:pPr>
              <w:spacing w:after="0" w:line="240" w:lineRule="auto"/>
              <w:rPr>
                <w:rFonts w:asciiTheme="majorHAnsi" w:eastAsia="Times New Roman" w:hAnsiTheme="majorHAnsi" w:cs="Times New Roman"/>
                <w:color w:val="000000"/>
              </w:rPr>
            </w:pPr>
            <w:r w:rsidRPr="00613A17">
              <w:rPr>
                <w:rFonts w:asciiTheme="majorHAnsi" w:eastAsia="Times New Roman" w:hAnsiTheme="majorHAnsi" w:cs="Times New Roman"/>
                <w:color w:val="000000"/>
              </w:rPr>
              <w:t>234</w:t>
            </w:r>
          </w:p>
        </w:tc>
      </w:tr>
      <w:tr w:rsidR="004E3669" w:rsidRPr="00613A17" w14:paraId="360C3B8E" w14:textId="77777777" w:rsidTr="004E3669">
        <w:trPr>
          <w:trHeight w:val="275"/>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14:paraId="55B7AD7B" w14:textId="77777777" w:rsidR="004E3669" w:rsidRPr="00613A17" w:rsidRDefault="004E3669" w:rsidP="00D61B27">
            <w:pPr>
              <w:spacing w:after="0" w:line="240" w:lineRule="auto"/>
              <w:rPr>
                <w:rFonts w:asciiTheme="majorHAnsi" w:eastAsia="Times New Roman" w:hAnsiTheme="majorHAnsi" w:cs="Times New Roman"/>
                <w:b/>
                <w:color w:val="000000"/>
              </w:rPr>
            </w:pPr>
            <w:r w:rsidRPr="00613A17">
              <w:rPr>
                <w:rFonts w:asciiTheme="majorHAnsi" w:eastAsia="Times New Roman" w:hAnsiTheme="majorHAnsi" w:cs="Times New Roman"/>
                <w:b/>
                <w:color w:val="000000"/>
              </w:rPr>
              <w:t>Total</w:t>
            </w:r>
          </w:p>
        </w:tc>
        <w:tc>
          <w:tcPr>
            <w:tcW w:w="1134" w:type="dxa"/>
            <w:tcBorders>
              <w:top w:val="nil"/>
              <w:left w:val="nil"/>
              <w:bottom w:val="single" w:sz="4" w:space="0" w:color="auto"/>
              <w:right w:val="single" w:sz="4" w:space="0" w:color="auto"/>
            </w:tcBorders>
            <w:shd w:val="clear" w:color="auto" w:fill="auto"/>
            <w:noWrap/>
            <w:vAlign w:val="center"/>
            <w:hideMark/>
          </w:tcPr>
          <w:p w14:paraId="028739E1" w14:textId="77777777" w:rsidR="004E3669" w:rsidRPr="00613A17" w:rsidRDefault="004E3669" w:rsidP="00D61B27">
            <w:pPr>
              <w:spacing w:after="0" w:line="240" w:lineRule="auto"/>
              <w:rPr>
                <w:rFonts w:asciiTheme="majorHAnsi" w:eastAsia="Times New Roman" w:hAnsiTheme="majorHAnsi" w:cs="Times New Roman"/>
                <w:b/>
                <w:color w:val="000000"/>
              </w:rPr>
            </w:pPr>
            <w:r w:rsidRPr="00613A17">
              <w:rPr>
                <w:rFonts w:asciiTheme="majorHAnsi" w:eastAsia="Times New Roman" w:hAnsiTheme="majorHAnsi" w:cs="Times New Roman"/>
                <w:b/>
                <w:color w:val="000000"/>
              </w:rPr>
              <w:t>2938</w:t>
            </w:r>
          </w:p>
        </w:tc>
        <w:tc>
          <w:tcPr>
            <w:tcW w:w="1701" w:type="dxa"/>
            <w:tcBorders>
              <w:top w:val="nil"/>
              <w:left w:val="nil"/>
              <w:bottom w:val="single" w:sz="4" w:space="0" w:color="auto"/>
              <w:right w:val="single" w:sz="4" w:space="0" w:color="auto"/>
            </w:tcBorders>
            <w:shd w:val="clear" w:color="auto" w:fill="auto"/>
            <w:noWrap/>
            <w:vAlign w:val="center"/>
            <w:hideMark/>
          </w:tcPr>
          <w:p w14:paraId="18C41953" w14:textId="77777777" w:rsidR="004E3669" w:rsidRPr="00613A17" w:rsidRDefault="004E3669" w:rsidP="00D61B27">
            <w:pPr>
              <w:spacing w:after="0" w:line="240" w:lineRule="auto"/>
              <w:rPr>
                <w:rFonts w:asciiTheme="majorHAnsi" w:eastAsia="Times New Roman" w:hAnsiTheme="majorHAnsi" w:cs="Times New Roman"/>
                <w:b/>
                <w:color w:val="000000"/>
              </w:rPr>
            </w:pPr>
            <w:r w:rsidRPr="00613A17">
              <w:rPr>
                <w:rFonts w:asciiTheme="majorHAnsi" w:eastAsia="Times New Roman" w:hAnsiTheme="majorHAnsi" w:cs="Times New Roman"/>
                <w:b/>
                <w:color w:val="000000"/>
              </w:rPr>
              <w:t>778</w:t>
            </w:r>
          </w:p>
        </w:tc>
      </w:tr>
    </w:tbl>
    <w:p w14:paraId="0E557C1F" w14:textId="77777777" w:rsidR="00B668E7" w:rsidRDefault="00553CB8" w:rsidP="00D61B27">
      <w:pPr>
        <w:rPr>
          <w:rFonts w:asciiTheme="majorHAnsi" w:hAnsiTheme="majorHAnsi"/>
        </w:rPr>
      </w:pPr>
      <w:r w:rsidRPr="00510B4F">
        <w:rPr>
          <w:rFonts w:asciiTheme="majorHAnsi" w:hAnsiTheme="majorHAnsi"/>
        </w:rPr>
        <w:t>Source: Transport Department GNCT Delhi and SDMC</w:t>
      </w:r>
    </w:p>
    <w:p w14:paraId="00877A52" w14:textId="77777777" w:rsidR="004E3669" w:rsidRDefault="004E3669" w:rsidP="004E3669">
      <w:pPr>
        <w:rPr>
          <w:rFonts w:asciiTheme="majorHAnsi" w:hAnsiTheme="majorHAnsi"/>
          <w:b/>
        </w:rPr>
      </w:pPr>
    </w:p>
    <w:p w14:paraId="686C5316" w14:textId="77777777" w:rsidR="00510B4F" w:rsidRPr="004E3669" w:rsidRDefault="004E3669" w:rsidP="004E3669">
      <w:pPr>
        <w:rPr>
          <w:rFonts w:asciiTheme="majorHAnsi" w:hAnsiTheme="majorHAnsi"/>
          <w:b/>
        </w:rPr>
      </w:pPr>
      <w:r>
        <w:rPr>
          <w:rFonts w:asciiTheme="majorHAnsi" w:hAnsiTheme="majorHAnsi"/>
          <w:b/>
        </w:rPr>
        <w:t xml:space="preserve">B. </w:t>
      </w:r>
      <w:r w:rsidR="00510B4F" w:rsidRPr="004E3669">
        <w:rPr>
          <w:rFonts w:asciiTheme="majorHAnsi" w:hAnsiTheme="majorHAnsi"/>
          <w:b/>
        </w:rPr>
        <w:t xml:space="preserve">What is the impact of this reduction on the quality of air? </w:t>
      </w:r>
    </w:p>
    <w:p w14:paraId="1EBC4EC8" w14:textId="77777777" w:rsidR="004E3669" w:rsidRPr="004E3669" w:rsidRDefault="004E3669" w:rsidP="004E3669">
      <w:pPr>
        <w:pStyle w:val="ListParagraph"/>
        <w:numPr>
          <w:ilvl w:val="0"/>
          <w:numId w:val="5"/>
        </w:numPr>
        <w:rPr>
          <w:rFonts w:asciiTheme="majorHAnsi" w:hAnsiTheme="majorHAnsi"/>
        </w:rPr>
      </w:pPr>
      <w:r w:rsidRPr="004E3669">
        <w:rPr>
          <w:rFonts w:asciiTheme="majorHAnsi" w:hAnsiTheme="majorHAnsi"/>
        </w:rPr>
        <w:t xml:space="preserve">As per EPCA’s </w:t>
      </w:r>
      <w:r w:rsidR="00510B4F" w:rsidRPr="004E3669">
        <w:rPr>
          <w:rFonts w:asciiTheme="majorHAnsi" w:hAnsiTheme="majorHAnsi"/>
        </w:rPr>
        <w:t xml:space="preserve">previous estimate, light and heavy-duty commercial vehicles contribute some 30 per cent of the PM load from the transport sector. </w:t>
      </w:r>
    </w:p>
    <w:p w14:paraId="39272127" w14:textId="77777777" w:rsidR="00510B4F" w:rsidRPr="004E3669" w:rsidRDefault="00510B4F" w:rsidP="004E3669">
      <w:pPr>
        <w:pStyle w:val="ListParagraph"/>
        <w:numPr>
          <w:ilvl w:val="0"/>
          <w:numId w:val="5"/>
        </w:numPr>
        <w:rPr>
          <w:rFonts w:asciiTheme="majorHAnsi" w:hAnsiTheme="majorHAnsi"/>
        </w:rPr>
      </w:pPr>
      <w:r w:rsidRPr="004E3669">
        <w:rPr>
          <w:rFonts w:asciiTheme="majorHAnsi" w:hAnsiTheme="majorHAnsi"/>
        </w:rPr>
        <w:t xml:space="preserve">But if we calculate the pollution load of the vehicles that have not entered Delhi, then it is estimated that there is a reduction of some 30-35% in both PM and </w:t>
      </w:r>
      <w:proofErr w:type="spellStart"/>
      <w:r w:rsidRPr="004E3669">
        <w:rPr>
          <w:rFonts w:asciiTheme="majorHAnsi" w:hAnsiTheme="majorHAnsi"/>
        </w:rPr>
        <w:t>NOx</w:t>
      </w:r>
      <w:proofErr w:type="spellEnd"/>
      <w:r w:rsidRPr="004E3669">
        <w:rPr>
          <w:rFonts w:asciiTheme="majorHAnsi" w:hAnsiTheme="majorHAnsi"/>
        </w:rPr>
        <w:t xml:space="preserve">, from this category. </w:t>
      </w:r>
    </w:p>
    <w:p w14:paraId="2D2FAE7C" w14:textId="77777777" w:rsidR="00510B4F" w:rsidRPr="00510B4F" w:rsidRDefault="00510B4F" w:rsidP="00D61B27">
      <w:pPr>
        <w:rPr>
          <w:rFonts w:asciiTheme="majorHAnsi" w:hAnsiTheme="majorHAnsi"/>
          <w:b/>
        </w:rPr>
      </w:pPr>
    </w:p>
    <w:p w14:paraId="1945924E" w14:textId="77777777" w:rsidR="00510B4F" w:rsidRPr="00510B4F" w:rsidRDefault="00510B4F" w:rsidP="00D61B27">
      <w:pPr>
        <w:rPr>
          <w:rFonts w:asciiTheme="majorHAnsi" w:hAnsiTheme="majorHAnsi"/>
          <w:b/>
        </w:rPr>
      </w:pPr>
    </w:p>
    <w:p w14:paraId="1D0A8A36" w14:textId="77777777" w:rsidR="00510B4F" w:rsidRDefault="00510B4F" w:rsidP="00D61B27">
      <w:pPr>
        <w:rPr>
          <w:rFonts w:asciiTheme="majorHAnsi" w:hAnsiTheme="majorHAnsi"/>
          <w:b/>
        </w:rPr>
      </w:pPr>
    </w:p>
    <w:p w14:paraId="38650538" w14:textId="77777777" w:rsidR="000C6AE5" w:rsidRPr="00510B4F" w:rsidRDefault="00510B4F" w:rsidP="00D61B27">
      <w:pPr>
        <w:rPr>
          <w:rFonts w:asciiTheme="majorHAnsi" w:hAnsiTheme="majorHAnsi"/>
          <w:b/>
        </w:rPr>
      </w:pPr>
      <w:r w:rsidRPr="00510B4F">
        <w:rPr>
          <w:rFonts w:asciiTheme="majorHAnsi" w:hAnsiTheme="majorHAnsi"/>
          <w:b/>
        </w:rPr>
        <w:lastRenderedPageBreak/>
        <w:t>Graph</w:t>
      </w:r>
      <w:r>
        <w:rPr>
          <w:rFonts w:asciiTheme="majorHAnsi" w:hAnsiTheme="majorHAnsi"/>
          <w:b/>
        </w:rPr>
        <w:t>1</w:t>
      </w:r>
      <w:r w:rsidRPr="00510B4F">
        <w:rPr>
          <w:rFonts w:asciiTheme="majorHAnsi" w:hAnsiTheme="majorHAnsi"/>
          <w:b/>
        </w:rPr>
        <w:t xml:space="preserve">: PM and </w:t>
      </w:r>
      <w:proofErr w:type="spellStart"/>
      <w:r w:rsidRPr="00510B4F">
        <w:rPr>
          <w:rFonts w:asciiTheme="majorHAnsi" w:hAnsiTheme="majorHAnsi"/>
          <w:b/>
        </w:rPr>
        <w:t>NOx</w:t>
      </w:r>
      <w:proofErr w:type="spellEnd"/>
      <w:r w:rsidRPr="00510B4F">
        <w:rPr>
          <w:rFonts w:asciiTheme="majorHAnsi" w:hAnsiTheme="majorHAnsi"/>
          <w:b/>
        </w:rPr>
        <w:t xml:space="preserve"> emissions from goods carriers in Delhi </w:t>
      </w:r>
    </w:p>
    <w:p w14:paraId="168619C0" w14:textId="77777777" w:rsidR="00510B4F" w:rsidRPr="00510B4F" w:rsidRDefault="00510B4F" w:rsidP="00D61B27">
      <w:pPr>
        <w:rPr>
          <w:rFonts w:asciiTheme="majorHAnsi" w:hAnsiTheme="majorHAnsi"/>
          <w:b/>
        </w:rPr>
      </w:pPr>
      <w:r w:rsidRPr="00510B4F">
        <w:rPr>
          <w:rFonts w:asciiTheme="majorHAnsi" w:hAnsiTheme="majorHAnsi"/>
          <w:b/>
        </w:rPr>
        <w:t>a. PM emissions load</w:t>
      </w:r>
    </w:p>
    <w:p w14:paraId="31969D83" w14:textId="77777777" w:rsidR="00510B4F" w:rsidRDefault="00510B4F" w:rsidP="00D61B27">
      <w:pPr>
        <w:rPr>
          <w:rFonts w:asciiTheme="majorHAnsi" w:hAnsiTheme="majorHAnsi"/>
        </w:rPr>
      </w:pPr>
      <w:r w:rsidRPr="00510B4F">
        <w:rPr>
          <w:rFonts w:asciiTheme="majorHAnsi" w:hAnsiTheme="majorHAnsi"/>
          <w:noProof/>
        </w:rPr>
        <w:drawing>
          <wp:inline distT="0" distB="0" distL="0" distR="0" wp14:anchorId="5F187546" wp14:editId="4857DBDD">
            <wp:extent cx="3753465" cy="2223566"/>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758357" cy="2226464"/>
                    </a:xfrm>
                    <a:prstGeom prst="rect">
                      <a:avLst/>
                    </a:prstGeom>
                    <a:noFill/>
                  </pic:spPr>
                </pic:pic>
              </a:graphicData>
            </a:graphic>
          </wp:inline>
        </w:drawing>
      </w:r>
    </w:p>
    <w:p w14:paraId="7A257E5B" w14:textId="77777777" w:rsidR="00510B4F" w:rsidRPr="000C6AE5" w:rsidRDefault="00510B4F" w:rsidP="00D61B27">
      <w:pPr>
        <w:rPr>
          <w:rFonts w:asciiTheme="majorHAnsi" w:hAnsiTheme="majorHAnsi"/>
        </w:rPr>
      </w:pPr>
      <w:r w:rsidRPr="00510B4F">
        <w:rPr>
          <w:rFonts w:asciiTheme="majorHAnsi" w:hAnsiTheme="majorHAnsi"/>
        </w:rPr>
        <w:t xml:space="preserve">Source: CSE estimates based on vehicle data provided by the CSE hired survey agency V R TECHNICHE Consultants </w:t>
      </w:r>
      <w:proofErr w:type="spellStart"/>
      <w:r w:rsidRPr="00510B4F">
        <w:rPr>
          <w:rFonts w:asciiTheme="majorHAnsi" w:hAnsiTheme="majorHAnsi"/>
        </w:rPr>
        <w:t>Pvt</w:t>
      </w:r>
      <w:proofErr w:type="spellEnd"/>
      <w:r w:rsidRPr="00510B4F">
        <w:rPr>
          <w:rFonts w:asciiTheme="majorHAnsi" w:hAnsiTheme="majorHAnsi"/>
        </w:rPr>
        <w:t xml:space="preserve"> Ltd, NOIDA, UP</w:t>
      </w:r>
    </w:p>
    <w:p w14:paraId="0B6D6C1D" w14:textId="77777777" w:rsidR="00510B4F" w:rsidRPr="00510B4F" w:rsidRDefault="00510B4F" w:rsidP="00D61B27">
      <w:pPr>
        <w:rPr>
          <w:rFonts w:asciiTheme="majorHAnsi" w:hAnsiTheme="majorHAnsi"/>
          <w:b/>
        </w:rPr>
      </w:pPr>
      <w:r w:rsidRPr="00510B4F">
        <w:rPr>
          <w:rFonts w:asciiTheme="majorHAnsi" w:hAnsiTheme="majorHAnsi"/>
          <w:b/>
        </w:rPr>
        <w:t xml:space="preserve">b. </w:t>
      </w:r>
      <w:proofErr w:type="spellStart"/>
      <w:r w:rsidRPr="00510B4F">
        <w:rPr>
          <w:rFonts w:asciiTheme="majorHAnsi" w:hAnsiTheme="majorHAnsi"/>
          <w:b/>
        </w:rPr>
        <w:t>NOx</w:t>
      </w:r>
      <w:proofErr w:type="spellEnd"/>
      <w:r w:rsidRPr="00510B4F">
        <w:rPr>
          <w:rFonts w:asciiTheme="majorHAnsi" w:hAnsiTheme="majorHAnsi"/>
          <w:b/>
        </w:rPr>
        <w:t xml:space="preserve"> emission load from goods carriers</w:t>
      </w:r>
    </w:p>
    <w:p w14:paraId="7FD93C2B" w14:textId="77777777" w:rsidR="00510B4F" w:rsidRPr="00510B4F" w:rsidRDefault="00510B4F" w:rsidP="00D61B27">
      <w:pPr>
        <w:rPr>
          <w:rFonts w:asciiTheme="majorHAnsi" w:hAnsiTheme="majorHAnsi"/>
        </w:rPr>
      </w:pPr>
      <w:r w:rsidRPr="00510B4F">
        <w:rPr>
          <w:rFonts w:asciiTheme="majorHAnsi" w:hAnsiTheme="majorHAnsi"/>
          <w:noProof/>
        </w:rPr>
        <w:drawing>
          <wp:inline distT="0" distB="0" distL="0" distR="0" wp14:anchorId="6D9A9A87" wp14:editId="5F2726CD">
            <wp:extent cx="4961760" cy="295275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962328" cy="2953088"/>
                    </a:xfrm>
                    <a:prstGeom prst="rect">
                      <a:avLst/>
                    </a:prstGeom>
                    <a:noFill/>
                  </pic:spPr>
                </pic:pic>
              </a:graphicData>
            </a:graphic>
          </wp:inline>
        </w:drawing>
      </w:r>
    </w:p>
    <w:p w14:paraId="4BE64132" w14:textId="77777777" w:rsidR="00510B4F" w:rsidRDefault="00510B4F" w:rsidP="00D61B27">
      <w:pPr>
        <w:rPr>
          <w:rFonts w:asciiTheme="majorHAnsi" w:hAnsiTheme="majorHAnsi"/>
        </w:rPr>
      </w:pPr>
      <w:r w:rsidRPr="00510B4F">
        <w:rPr>
          <w:rFonts w:asciiTheme="majorHAnsi" w:hAnsiTheme="majorHAnsi"/>
        </w:rPr>
        <w:t xml:space="preserve">Source: CSE estimates based on vehicle data provided by the CSE hired survey agency V R TECHNICHE Consultants </w:t>
      </w:r>
      <w:proofErr w:type="spellStart"/>
      <w:r w:rsidRPr="00510B4F">
        <w:rPr>
          <w:rFonts w:asciiTheme="majorHAnsi" w:hAnsiTheme="majorHAnsi"/>
        </w:rPr>
        <w:t>Pvt</w:t>
      </w:r>
      <w:proofErr w:type="spellEnd"/>
      <w:r w:rsidRPr="00510B4F">
        <w:rPr>
          <w:rFonts w:asciiTheme="majorHAnsi" w:hAnsiTheme="majorHAnsi"/>
        </w:rPr>
        <w:t xml:space="preserve"> Ltd, NOIDA, UP</w:t>
      </w:r>
    </w:p>
    <w:p w14:paraId="5B5FF381" w14:textId="77777777" w:rsidR="000C6AE5" w:rsidRDefault="000C6AE5" w:rsidP="00D61B27">
      <w:pPr>
        <w:rPr>
          <w:rFonts w:asciiTheme="majorHAnsi" w:eastAsia="Times New Roman" w:hAnsiTheme="majorHAnsi" w:cs="Arial"/>
          <w:b/>
          <w:color w:val="222222"/>
        </w:rPr>
      </w:pPr>
    </w:p>
    <w:p w14:paraId="0B0D7BA0" w14:textId="77777777" w:rsidR="000C6AE5" w:rsidRDefault="000C6AE5" w:rsidP="00D61B27">
      <w:pPr>
        <w:rPr>
          <w:rFonts w:asciiTheme="majorHAnsi" w:eastAsia="Times New Roman" w:hAnsiTheme="majorHAnsi" w:cs="Arial"/>
          <w:b/>
          <w:color w:val="222222"/>
        </w:rPr>
      </w:pPr>
    </w:p>
    <w:p w14:paraId="1F4C61D9" w14:textId="77777777" w:rsidR="000C6AE5" w:rsidRDefault="000C6AE5" w:rsidP="00D61B27">
      <w:pPr>
        <w:rPr>
          <w:rFonts w:asciiTheme="majorHAnsi" w:eastAsia="Times New Roman" w:hAnsiTheme="majorHAnsi" w:cs="Arial"/>
          <w:b/>
          <w:color w:val="222222"/>
        </w:rPr>
      </w:pPr>
    </w:p>
    <w:p w14:paraId="50528890" w14:textId="77777777" w:rsidR="004E3669" w:rsidRDefault="004E3669" w:rsidP="00D61B27">
      <w:pPr>
        <w:rPr>
          <w:rFonts w:asciiTheme="majorHAnsi" w:eastAsia="Times New Roman" w:hAnsiTheme="majorHAnsi" w:cs="Arial"/>
          <w:b/>
          <w:color w:val="222222"/>
        </w:rPr>
      </w:pPr>
      <w:r>
        <w:rPr>
          <w:rFonts w:asciiTheme="majorHAnsi" w:eastAsia="Times New Roman" w:hAnsiTheme="majorHAnsi" w:cs="Arial"/>
          <w:b/>
          <w:color w:val="222222"/>
        </w:rPr>
        <w:lastRenderedPageBreak/>
        <w:t xml:space="preserve">3. </w:t>
      </w:r>
      <w:r w:rsidRPr="004E3669">
        <w:rPr>
          <w:rFonts w:asciiTheme="majorHAnsi" w:eastAsia="Times New Roman" w:hAnsiTheme="majorHAnsi" w:cs="Arial"/>
          <w:color w:val="222222"/>
        </w:rPr>
        <w:t xml:space="preserve">Trucks are mainly responsible for pollution during night, as was visible in the previous years. To understand the impact of the reduction in the numbers of vehicles on air quality, EPCA compared the night pollution levels of the previous year. It has found a clear trend showing that the concentration of PM 2.5 is lower this winter in the night, as compared to the previous year. </w:t>
      </w:r>
    </w:p>
    <w:p w14:paraId="094DE823" w14:textId="77777777" w:rsidR="00613A17" w:rsidRPr="00510B4F" w:rsidRDefault="00510B4F" w:rsidP="00D61B27">
      <w:pPr>
        <w:rPr>
          <w:rFonts w:asciiTheme="majorHAnsi" w:hAnsiTheme="majorHAnsi"/>
        </w:rPr>
      </w:pPr>
      <w:r w:rsidRPr="00510B4F">
        <w:rPr>
          <w:rFonts w:asciiTheme="majorHAnsi" w:eastAsia="Times New Roman" w:hAnsiTheme="majorHAnsi" w:cs="Arial"/>
          <w:b/>
          <w:color w:val="222222"/>
        </w:rPr>
        <w:t>Graph2</w:t>
      </w:r>
      <w:r>
        <w:rPr>
          <w:rFonts w:asciiTheme="majorHAnsi" w:eastAsia="Times New Roman" w:hAnsiTheme="majorHAnsi" w:cs="Arial"/>
          <w:b/>
          <w:color w:val="222222"/>
        </w:rPr>
        <w:t>: A</w:t>
      </w:r>
      <w:r w:rsidR="00E3671E" w:rsidRPr="00E3671E">
        <w:rPr>
          <w:rFonts w:asciiTheme="majorHAnsi" w:eastAsia="Times New Roman" w:hAnsiTheme="majorHAnsi" w:cs="Arial"/>
          <w:b/>
          <w:color w:val="222222"/>
        </w:rPr>
        <w:t>verage night peak pollution has drops this winter in comparison to last winter</w:t>
      </w:r>
    </w:p>
    <w:p w14:paraId="0CCF48CE" w14:textId="77777777" w:rsidR="00880DCE" w:rsidRDefault="00880DCE" w:rsidP="00D61B27">
      <w:pPr>
        <w:rPr>
          <w:rFonts w:asciiTheme="majorHAnsi" w:hAnsiTheme="majorHAnsi"/>
        </w:rPr>
      </w:pPr>
      <w:r w:rsidRPr="00510B4F">
        <w:rPr>
          <w:rFonts w:asciiTheme="majorHAnsi" w:hAnsiTheme="majorHAnsi"/>
          <w:noProof/>
        </w:rPr>
        <w:drawing>
          <wp:inline distT="0" distB="0" distL="0" distR="0" wp14:anchorId="7C0866C1" wp14:editId="695AE39C">
            <wp:extent cx="5998292" cy="3636797"/>
            <wp:effectExtent l="19050" t="0" r="2458"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2930" cy="3645672"/>
                    </a:xfrm>
                    <a:prstGeom prst="rect">
                      <a:avLst/>
                    </a:prstGeom>
                    <a:noFill/>
                  </pic:spPr>
                </pic:pic>
              </a:graphicData>
            </a:graphic>
          </wp:inline>
        </w:drawing>
      </w:r>
    </w:p>
    <w:p w14:paraId="0728C242" w14:textId="77777777" w:rsidR="00510B4F" w:rsidRDefault="00510B4F" w:rsidP="00D61B27">
      <w:pPr>
        <w:rPr>
          <w:rFonts w:asciiTheme="majorHAnsi" w:hAnsiTheme="majorHAnsi"/>
        </w:rPr>
      </w:pPr>
      <w:r>
        <w:rPr>
          <w:rFonts w:asciiTheme="majorHAnsi" w:hAnsiTheme="majorHAnsi"/>
        </w:rPr>
        <w:t>Source: Based on DPCC Real Time Monitoring Data</w:t>
      </w:r>
    </w:p>
    <w:p w14:paraId="41B11307" w14:textId="77777777" w:rsidR="00D54367" w:rsidRPr="00D54367" w:rsidRDefault="004E3669" w:rsidP="00D54367">
      <w:pPr>
        <w:pStyle w:val="ListParagraph"/>
        <w:numPr>
          <w:ilvl w:val="0"/>
          <w:numId w:val="5"/>
        </w:numPr>
        <w:rPr>
          <w:rFonts w:asciiTheme="majorHAnsi" w:hAnsiTheme="majorHAnsi"/>
        </w:rPr>
      </w:pPr>
      <w:r w:rsidRPr="00D54367">
        <w:rPr>
          <w:rFonts w:asciiTheme="majorHAnsi" w:hAnsiTheme="majorHAnsi"/>
        </w:rPr>
        <w:t>EPCA has also compared the pollution trends for this winter of 2015-16 to the previous year. It is clear that weather plays a critical role in pollution episodes. In winter, as compared to summer, there is more inversion – which settles the cold closer to land and traps pollution; there is also less wind and more moisture that increases smog. However, each winter the pollution level also varies as this is determined</w:t>
      </w:r>
      <w:r w:rsidR="00D54367" w:rsidRPr="00D54367">
        <w:rPr>
          <w:rFonts w:asciiTheme="majorHAnsi" w:hAnsiTheme="majorHAnsi"/>
        </w:rPr>
        <w:t xml:space="preserve"> by the amount of wind and rain, which disperses the pollutants. </w:t>
      </w:r>
    </w:p>
    <w:p w14:paraId="4133BE19" w14:textId="77777777" w:rsidR="004E3669" w:rsidRDefault="00D54367" w:rsidP="00D54367">
      <w:pPr>
        <w:pStyle w:val="ListParagraph"/>
        <w:numPr>
          <w:ilvl w:val="0"/>
          <w:numId w:val="5"/>
        </w:numPr>
        <w:rPr>
          <w:rFonts w:asciiTheme="majorHAnsi" w:hAnsiTheme="majorHAnsi"/>
        </w:rPr>
      </w:pPr>
      <w:r w:rsidRPr="00D54367">
        <w:rPr>
          <w:rFonts w:asciiTheme="majorHAnsi" w:hAnsiTheme="majorHAnsi"/>
        </w:rPr>
        <w:t xml:space="preserve">This winter of 2015-16 has been the </w:t>
      </w:r>
      <w:r>
        <w:rPr>
          <w:rFonts w:asciiTheme="majorHAnsi" w:hAnsiTheme="majorHAnsi"/>
        </w:rPr>
        <w:t xml:space="preserve">worst, when it comes to pollution as there has been no wind to disperse pollutants and this has been combined with conditions when there is no rain but high moisture. </w:t>
      </w:r>
    </w:p>
    <w:p w14:paraId="791094A7" w14:textId="77777777" w:rsidR="00D54367" w:rsidRPr="00D54367" w:rsidRDefault="00D54367" w:rsidP="00D54367">
      <w:pPr>
        <w:pStyle w:val="ListParagraph"/>
        <w:numPr>
          <w:ilvl w:val="0"/>
          <w:numId w:val="5"/>
        </w:numPr>
        <w:rPr>
          <w:rFonts w:asciiTheme="majorHAnsi" w:hAnsiTheme="majorHAnsi"/>
        </w:rPr>
      </w:pPr>
      <w:r>
        <w:rPr>
          <w:rFonts w:asciiTheme="majorHAnsi" w:hAnsiTheme="majorHAnsi"/>
        </w:rPr>
        <w:t>The analysis of DPCC data (average of 4 stations across the city</w:t>
      </w:r>
      <w:proofErr w:type="gramStart"/>
      <w:r>
        <w:rPr>
          <w:rFonts w:asciiTheme="majorHAnsi" w:hAnsiTheme="majorHAnsi"/>
        </w:rPr>
        <w:t>),</w:t>
      </w:r>
      <w:proofErr w:type="gramEnd"/>
      <w:r>
        <w:rPr>
          <w:rFonts w:asciiTheme="majorHAnsi" w:hAnsiTheme="majorHAnsi"/>
        </w:rPr>
        <w:t xml:space="preserve"> shows that there is a clear trend that is visible since the imposition of ECC and all other steps that are being taken to combat air pollution. Against the previous year, when there is no trend in the reduction of pollution, other than what is caused by weather events, in the current year in spite of adverse weather, the pollution peaks shows a steadily declining trend. This suggests that actions being taken by the </w:t>
      </w:r>
      <w:proofErr w:type="spellStart"/>
      <w:r>
        <w:rPr>
          <w:rFonts w:asciiTheme="majorHAnsi" w:hAnsiTheme="majorHAnsi"/>
        </w:rPr>
        <w:t>Hon’ble</w:t>
      </w:r>
      <w:proofErr w:type="spellEnd"/>
      <w:r>
        <w:rPr>
          <w:rFonts w:asciiTheme="majorHAnsi" w:hAnsiTheme="majorHAnsi"/>
        </w:rPr>
        <w:t xml:space="preserve"> Supreme Court are making a difference. It also suggests </w:t>
      </w:r>
      <w:r>
        <w:rPr>
          <w:rFonts w:asciiTheme="majorHAnsi" w:hAnsiTheme="majorHAnsi"/>
        </w:rPr>
        <w:lastRenderedPageBreak/>
        <w:t xml:space="preserve">that levels of pollution are still high and require more enforcement and more steps to combat this deadly health scourge. </w:t>
      </w:r>
    </w:p>
    <w:p w14:paraId="0C23C721" w14:textId="77777777" w:rsidR="000C6AE5" w:rsidRDefault="000C6AE5" w:rsidP="00D61B27">
      <w:pPr>
        <w:rPr>
          <w:rFonts w:asciiTheme="majorHAnsi" w:hAnsiTheme="majorHAnsi"/>
          <w:b/>
          <w:lang w:val="en-IN" w:eastAsia="en-IN"/>
        </w:rPr>
      </w:pPr>
      <w:r w:rsidRPr="0023575B">
        <w:rPr>
          <w:rFonts w:asciiTheme="majorHAnsi" w:hAnsiTheme="majorHAnsi"/>
          <w:b/>
          <w:lang w:val="en-IN" w:eastAsia="en-IN"/>
        </w:rPr>
        <w:t>Graph 3: Sustained pollution control measures in winter of 2015-16 helped lower the pollution in a systematic fashion</w:t>
      </w:r>
    </w:p>
    <w:p w14:paraId="539AE539" w14:textId="77777777" w:rsidR="000C6AE5" w:rsidRDefault="000C6AE5" w:rsidP="00D61B27">
      <w:pPr>
        <w:rPr>
          <w:rFonts w:asciiTheme="majorHAnsi" w:hAnsiTheme="majorHAnsi"/>
        </w:rPr>
      </w:pPr>
      <w:r w:rsidRPr="000C6AE5">
        <w:rPr>
          <w:rFonts w:asciiTheme="majorHAnsi" w:hAnsiTheme="majorHAnsi"/>
          <w:b/>
          <w:noProof/>
        </w:rPr>
        <w:drawing>
          <wp:inline distT="0" distB="0" distL="0" distR="0" wp14:anchorId="5EDACE48" wp14:editId="0B288E9B">
            <wp:extent cx="5423105" cy="3133159"/>
            <wp:effectExtent l="19050" t="0" r="614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4334" cy="3145424"/>
                    </a:xfrm>
                    <a:prstGeom prst="rect">
                      <a:avLst/>
                    </a:prstGeom>
                    <a:noFill/>
                  </pic:spPr>
                </pic:pic>
              </a:graphicData>
            </a:graphic>
          </wp:inline>
        </w:drawing>
      </w:r>
    </w:p>
    <w:p w14:paraId="7858AA4C" w14:textId="77777777" w:rsidR="000C6AE5" w:rsidRDefault="000C6AE5" w:rsidP="00D61B27">
      <w:pPr>
        <w:rPr>
          <w:rFonts w:asciiTheme="majorHAnsi" w:hAnsiTheme="majorHAnsi"/>
          <w:b/>
          <w:lang w:val="en-IN" w:eastAsia="en-IN"/>
        </w:rPr>
      </w:pPr>
      <w:r w:rsidRPr="0023575B">
        <w:rPr>
          <w:rFonts w:asciiTheme="majorHAnsi" w:hAnsiTheme="majorHAnsi"/>
          <w:b/>
          <w:lang w:val="en-IN" w:eastAsia="en-IN"/>
        </w:rPr>
        <w:t>Graph 3: Sustained pollution control measures in winter of 2015-16 helped lower the pollution in a systematic fashion</w:t>
      </w:r>
    </w:p>
    <w:p w14:paraId="7C8A29B4" w14:textId="77777777" w:rsidR="000C6AE5" w:rsidRDefault="000C6AE5" w:rsidP="00D61B27">
      <w:pPr>
        <w:rPr>
          <w:rFonts w:asciiTheme="majorHAnsi" w:hAnsiTheme="majorHAnsi"/>
        </w:rPr>
      </w:pPr>
    </w:p>
    <w:p w14:paraId="5B6EE795" w14:textId="77777777" w:rsidR="000C6AE5" w:rsidRPr="00510B4F" w:rsidRDefault="000C6AE5" w:rsidP="00D61B27">
      <w:pPr>
        <w:rPr>
          <w:rFonts w:asciiTheme="majorHAnsi" w:hAnsiTheme="majorHAnsi"/>
        </w:rPr>
      </w:pPr>
      <w:bookmarkStart w:id="0" w:name="_GoBack"/>
      <w:r w:rsidRPr="000C6AE5">
        <w:rPr>
          <w:rFonts w:asciiTheme="majorHAnsi" w:hAnsiTheme="majorHAnsi"/>
          <w:noProof/>
        </w:rPr>
        <w:drawing>
          <wp:inline distT="0" distB="0" distL="0" distR="0" wp14:anchorId="2DF379BF" wp14:editId="70925905">
            <wp:extent cx="5355167" cy="3105086"/>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9660" cy="3107691"/>
                    </a:xfrm>
                    <a:prstGeom prst="rect">
                      <a:avLst/>
                    </a:prstGeom>
                    <a:noFill/>
                  </pic:spPr>
                </pic:pic>
              </a:graphicData>
            </a:graphic>
          </wp:inline>
        </w:drawing>
      </w:r>
      <w:bookmarkEnd w:id="0"/>
    </w:p>
    <w:p w14:paraId="48B72F72" w14:textId="77777777" w:rsidR="00510B4F" w:rsidRPr="00510B4F" w:rsidRDefault="00510B4F" w:rsidP="00D61B27">
      <w:pPr>
        <w:rPr>
          <w:rFonts w:asciiTheme="majorHAnsi" w:hAnsiTheme="majorHAnsi"/>
        </w:rPr>
      </w:pPr>
    </w:p>
    <w:p w14:paraId="36A40CF8" w14:textId="77777777" w:rsidR="00880DCE" w:rsidRPr="00510B4F" w:rsidRDefault="00880DCE" w:rsidP="00D61B27">
      <w:pPr>
        <w:rPr>
          <w:rFonts w:asciiTheme="majorHAnsi" w:hAnsiTheme="majorHAnsi"/>
        </w:rPr>
      </w:pPr>
    </w:p>
    <w:p w14:paraId="4E9256CA" w14:textId="77777777" w:rsidR="00880DCE" w:rsidRPr="00510B4F" w:rsidRDefault="00880DCE" w:rsidP="00D61B27">
      <w:pPr>
        <w:rPr>
          <w:rFonts w:asciiTheme="majorHAnsi" w:hAnsiTheme="majorHAnsi"/>
          <w:b/>
        </w:rPr>
      </w:pPr>
    </w:p>
    <w:sectPr w:rsidR="00880DCE" w:rsidRPr="00510B4F" w:rsidSect="006F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C9E"/>
    <w:multiLevelType w:val="hybridMultilevel"/>
    <w:tmpl w:val="31D2D1C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72B90"/>
    <w:multiLevelType w:val="hybridMultilevel"/>
    <w:tmpl w:val="22407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2F0880"/>
    <w:multiLevelType w:val="hybridMultilevel"/>
    <w:tmpl w:val="8DDA7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C054E1"/>
    <w:multiLevelType w:val="hybridMultilevel"/>
    <w:tmpl w:val="F572B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7212CA"/>
    <w:multiLevelType w:val="hybridMultilevel"/>
    <w:tmpl w:val="69A0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0A"/>
    <w:rsid w:val="000C6AE5"/>
    <w:rsid w:val="001176CE"/>
    <w:rsid w:val="00144CDB"/>
    <w:rsid w:val="00206EEC"/>
    <w:rsid w:val="00231110"/>
    <w:rsid w:val="0023575B"/>
    <w:rsid w:val="003F27B0"/>
    <w:rsid w:val="004E3669"/>
    <w:rsid w:val="00510B4F"/>
    <w:rsid w:val="00553CB8"/>
    <w:rsid w:val="00613A17"/>
    <w:rsid w:val="006F4FAC"/>
    <w:rsid w:val="00880DCE"/>
    <w:rsid w:val="008A1681"/>
    <w:rsid w:val="00A44C0A"/>
    <w:rsid w:val="00B30ACD"/>
    <w:rsid w:val="00B668E7"/>
    <w:rsid w:val="00B87801"/>
    <w:rsid w:val="00BD3E0F"/>
    <w:rsid w:val="00D018E9"/>
    <w:rsid w:val="00D54367"/>
    <w:rsid w:val="00D61B27"/>
    <w:rsid w:val="00DE7C74"/>
    <w:rsid w:val="00E3671E"/>
    <w:rsid w:val="00FF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C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6CE"/>
    <w:pPr>
      <w:ind w:left="720"/>
      <w:contextualSpacing/>
    </w:pPr>
  </w:style>
  <w:style w:type="table" w:styleId="TableGrid">
    <w:name w:val="Table Grid"/>
    <w:basedOn w:val="TableNormal"/>
    <w:uiPriority w:val="59"/>
    <w:rsid w:val="003F27B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CE"/>
    <w:rPr>
      <w:rFonts w:ascii="Tahoma" w:hAnsi="Tahoma" w:cs="Tahoma"/>
      <w:sz w:val="16"/>
      <w:szCs w:val="16"/>
    </w:rPr>
  </w:style>
  <w:style w:type="paragraph" w:styleId="NormalWeb">
    <w:name w:val="Normal (Web)"/>
    <w:basedOn w:val="Normal"/>
    <w:uiPriority w:val="99"/>
    <w:semiHidden/>
    <w:unhideWhenUsed/>
    <w:rsid w:val="00E367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6CE"/>
    <w:pPr>
      <w:ind w:left="720"/>
      <w:contextualSpacing/>
    </w:pPr>
  </w:style>
  <w:style w:type="table" w:styleId="TableGrid">
    <w:name w:val="Table Grid"/>
    <w:basedOn w:val="TableNormal"/>
    <w:uiPriority w:val="59"/>
    <w:rsid w:val="003F27B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CE"/>
    <w:rPr>
      <w:rFonts w:ascii="Tahoma" w:hAnsi="Tahoma" w:cs="Tahoma"/>
      <w:sz w:val="16"/>
      <w:szCs w:val="16"/>
    </w:rPr>
  </w:style>
  <w:style w:type="paragraph" w:styleId="NormalWeb">
    <w:name w:val="Normal (Web)"/>
    <w:basedOn w:val="Normal"/>
    <w:uiPriority w:val="99"/>
    <w:semiHidden/>
    <w:unhideWhenUsed/>
    <w:rsid w:val="00E367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2490">
      <w:bodyDiv w:val="1"/>
      <w:marLeft w:val="0"/>
      <w:marRight w:val="0"/>
      <w:marTop w:val="0"/>
      <w:marBottom w:val="0"/>
      <w:divBdr>
        <w:top w:val="none" w:sz="0" w:space="0" w:color="auto"/>
        <w:left w:val="none" w:sz="0" w:space="0" w:color="auto"/>
        <w:bottom w:val="none" w:sz="0" w:space="0" w:color="auto"/>
        <w:right w:val="none" w:sz="0" w:space="0" w:color="auto"/>
      </w:divBdr>
    </w:div>
    <w:div w:id="1148862842">
      <w:bodyDiv w:val="1"/>
      <w:marLeft w:val="0"/>
      <w:marRight w:val="0"/>
      <w:marTop w:val="0"/>
      <w:marBottom w:val="0"/>
      <w:divBdr>
        <w:top w:val="none" w:sz="0" w:space="0" w:color="auto"/>
        <w:left w:val="none" w:sz="0" w:space="0" w:color="auto"/>
        <w:bottom w:val="none" w:sz="0" w:space="0" w:color="auto"/>
        <w:right w:val="none" w:sz="0" w:space="0" w:color="auto"/>
      </w:divBdr>
      <w:divsChild>
        <w:div w:id="1469321222">
          <w:marLeft w:val="0"/>
          <w:marRight w:val="0"/>
          <w:marTop w:val="0"/>
          <w:marBottom w:val="0"/>
          <w:divBdr>
            <w:top w:val="none" w:sz="0" w:space="0" w:color="auto"/>
            <w:left w:val="none" w:sz="0" w:space="0" w:color="auto"/>
            <w:bottom w:val="none" w:sz="0" w:space="0" w:color="auto"/>
            <w:right w:val="none" w:sz="0" w:space="0" w:color="auto"/>
          </w:divBdr>
          <w:divsChild>
            <w:div w:id="152655292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1325</Words>
  <Characters>6162</Characters>
  <Application>Microsoft Macintosh Word</Application>
  <DocSecurity>0</DocSecurity>
  <Lines>116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Nasim</dc:creator>
  <cp:lastModifiedBy>Sunita Narain</cp:lastModifiedBy>
  <cp:revision>2</cp:revision>
  <dcterms:created xsi:type="dcterms:W3CDTF">2016-02-17T11:59:00Z</dcterms:created>
  <dcterms:modified xsi:type="dcterms:W3CDTF">2016-02-17T11:59:00Z</dcterms:modified>
</cp:coreProperties>
</file>